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D073" w14:textId="56FAAAC1" w:rsidR="00885936" w:rsidRPr="00CF78F0" w:rsidRDefault="00885936" w:rsidP="00885936">
      <w:pPr>
        <w:jc w:val="center"/>
        <w:rPr>
          <w:b/>
          <w:bCs/>
          <w:u w:val="single"/>
        </w:rPr>
      </w:pPr>
      <w:r w:rsidRPr="002C1FD7">
        <w:rPr>
          <w:b/>
          <w:bCs/>
        </w:rPr>
        <w:t>Būvniecības likumdošanas izmaiņas 2026.gadā un to ietekme uz LEADER</w:t>
      </w:r>
      <w:r>
        <w:rPr>
          <w:b/>
          <w:bCs/>
        </w:rPr>
        <w:t xml:space="preserve">/ SVVA </w:t>
      </w:r>
      <w:r w:rsidRPr="002C1FD7">
        <w:rPr>
          <w:b/>
          <w:bCs/>
        </w:rPr>
        <w:t xml:space="preserve">projektu īstenošanu </w:t>
      </w:r>
      <w:r w:rsidRPr="00CF78F0">
        <w:rPr>
          <w:b/>
          <w:bCs/>
          <w:u w:val="single"/>
        </w:rPr>
        <w:t xml:space="preserve">saskaņā ar MK 580 </w:t>
      </w:r>
      <w:r>
        <w:rPr>
          <w:b/>
          <w:bCs/>
          <w:u w:val="single"/>
        </w:rPr>
        <w:t>un MK 579</w:t>
      </w:r>
      <w:r w:rsidRPr="00885936">
        <w:rPr>
          <w:b/>
          <w:bCs/>
          <w:u w:val="single"/>
        </w:rPr>
        <w:t xml:space="preserve"> </w:t>
      </w:r>
      <w:r w:rsidRPr="00CF78F0">
        <w:rPr>
          <w:b/>
          <w:bCs/>
          <w:u w:val="single"/>
        </w:rPr>
        <w:t>esošo redakciju</w:t>
      </w:r>
    </w:p>
    <w:p w14:paraId="33AB8EF3" w14:textId="77777777" w:rsidR="00885936" w:rsidRDefault="00885936"/>
    <w:tbl>
      <w:tblPr>
        <w:tblStyle w:val="TableGrid"/>
        <w:tblpPr w:leftFromText="180" w:rightFromText="180" w:vertAnchor="page" w:horzAnchor="margin" w:tblpY="1211"/>
        <w:tblW w:w="15982" w:type="dxa"/>
        <w:tblLook w:val="04A0" w:firstRow="1" w:lastRow="0" w:firstColumn="1" w:lastColumn="0" w:noHBand="0" w:noVBand="1"/>
      </w:tblPr>
      <w:tblGrid>
        <w:gridCol w:w="1513"/>
        <w:gridCol w:w="4132"/>
        <w:gridCol w:w="3027"/>
        <w:gridCol w:w="3655"/>
        <w:gridCol w:w="3655"/>
      </w:tblGrid>
      <w:tr w:rsidR="009E1FC2" w14:paraId="0EABB338" w14:textId="596A77C6" w:rsidTr="009E1FC2">
        <w:trPr>
          <w:trHeight w:val="586"/>
        </w:trPr>
        <w:tc>
          <w:tcPr>
            <w:tcW w:w="1513" w:type="dxa"/>
            <w:tcBorders>
              <w:top w:val="nil"/>
              <w:left w:val="nil"/>
              <w:bottom w:val="single" w:sz="4" w:space="0" w:color="auto"/>
              <w:right w:val="single" w:sz="4" w:space="0" w:color="auto"/>
            </w:tcBorders>
          </w:tcPr>
          <w:p w14:paraId="0421E220" w14:textId="77777777" w:rsidR="009E1FC2" w:rsidRDefault="009E1FC2" w:rsidP="00852C97"/>
          <w:p w14:paraId="22ECA385" w14:textId="4E60E1D5" w:rsidR="009E1FC2" w:rsidRPr="00373845" w:rsidRDefault="009E1FC2" w:rsidP="00373845">
            <w:pPr>
              <w:jc w:val="center"/>
              <w:rPr>
                <w:b/>
                <w:bCs/>
                <w:sz w:val="18"/>
                <w:szCs w:val="18"/>
              </w:rPr>
            </w:pPr>
            <w:r w:rsidRPr="00373845">
              <w:rPr>
                <w:b/>
                <w:bCs/>
                <w:sz w:val="18"/>
                <w:szCs w:val="18"/>
              </w:rPr>
              <w:t>Saskaņā ar būvniecības likumdošanu</w:t>
            </w:r>
          </w:p>
        </w:tc>
        <w:tc>
          <w:tcPr>
            <w:tcW w:w="4132" w:type="dxa"/>
            <w:tcBorders>
              <w:right w:val="single" w:sz="4" w:space="0" w:color="auto"/>
            </w:tcBorders>
            <w:shd w:val="clear" w:color="auto" w:fill="FBE4D5" w:themeFill="accent2" w:themeFillTint="33"/>
            <w:vAlign w:val="center"/>
          </w:tcPr>
          <w:p w14:paraId="0B427318" w14:textId="14D05641" w:rsidR="009E1FC2" w:rsidRPr="00E97F9E" w:rsidRDefault="009E1FC2" w:rsidP="00E97F9E">
            <w:pPr>
              <w:jc w:val="center"/>
              <w:rPr>
                <w:b/>
                <w:bCs/>
              </w:rPr>
            </w:pPr>
            <w:r w:rsidRPr="00E97F9E">
              <w:rPr>
                <w:b/>
                <w:bCs/>
              </w:rPr>
              <w:t>19.21. (MK 580 33.2.)</w:t>
            </w:r>
          </w:p>
        </w:tc>
        <w:tc>
          <w:tcPr>
            <w:tcW w:w="3027" w:type="dxa"/>
            <w:tcBorders>
              <w:right w:val="single" w:sz="4" w:space="0" w:color="auto"/>
            </w:tcBorders>
            <w:shd w:val="clear" w:color="auto" w:fill="FBE4D5" w:themeFill="accent2" w:themeFillTint="33"/>
          </w:tcPr>
          <w:p w14:paraId="3AD1F6B2" w14:textId="77777777" w:rsidR="009E1FC2" w:rsidRDefault="009E1FC2" w:rsidP="009E1FC2">
            <w:pPr>
              <w:rPr>
                <w:b/>
                <w:bCs/>
              </w:rPr>
            </w:pPr>
          </w:p>
          <w:p w14:paraId="56ED5338" w14:textId="543FF594" w:rsidR="009E1FC2" w:rsidRPr="00E97F9E" w:rsidRDefault="009E1FC2" w:rsidP="009E1FC2">
            <w:pPr>
              <w:rPr>
                <w:b/>
                <w:bCs/>
              </w:rPr>
            </w:pPr>
            <w:r>
              <w:rPr>
                <w:b/>
                <w:bCs/>
              </w:rPr>
              <w:t xml:space="preserve">EJZAF  (MK 579 </w:t>
            </w:r>
            <w:r w:rsidR="00885936">
              <w:rPr>
                <w:b/>
                <w:bCs/>
              </w:rPr>
              <w:t xml:space="preserve">18.2 un </w:t>
            </w:r>
            <w:r>
              <w:rPr>
                <w:b/>
                <w:bCs/>
              </w:rPr>
              <w:t>20.)</w:t>
            </w:r>
          </w:p>
        </w:tc>
        <w:tc>
          <w:tcPr>
            <w:tcW w:w="3655" w:type="dxa"/>
            <w:tcBorders>
              <w:left w:val="single" w:sz="4" w:space="0" w:color="auto"/>
            </w:tcBorders>
            <w:shd w:val="clear" w:color="auto" w:fill="FBE4D5" w:themeFill="accent2" w:themeFillTint="33"/>
            <w:vAlign w:val="center"/>
          </w:tcPr>
          <w:p w14:paraId="0F46154C" w14:textId="553E6D20" w:rsidR="009E1FC2" w:rsidRPr="00E97F9E" w:rsidRDefault="009E1FC2" w:rsidP="00E97F9E">
            <w:pPr>
              <w:jc w:val="center"/>
              <w:rPr>
                <w:b/>
                <w:bCs/>
              </w:rPr>
            </w:pPr>
            <w:r w:rsidRPr="00E97F9E">
              <w:rPr>
                <w:b/>
                <w:bCs/>
              </w:rPr>
              <w:t>19.22.</w:t>
            </w:r>
            <w:r>
              <w:rPr>
                <w:b/>
                <w:bCs/>
              </w:rPr>
              <w:t xml:space="preserve"> (MK 580  35.2)</w:t>
            </w:r>
          </w:p>
        </w:tc>
        <w:tc>
          <w:tcPr>
            <w:tcW w:w="3655" w:type="dxa"/>
            <w:tcBorders>
              <w:left w:val="single" w:sz="4" w:space="0" w:color="auto"/>
            </w:tcBorders>
            <w:shd w:val="clear" w:color="auto" w:fill="FBE4D5" w:themeFill="accent2" w:themeFillTint="33"/>
          </w:tcPr>
          <w:p w14:paraId="463A6DC5" w14:textId="77777777" w:rsidR="009E1FC2" w:rsidRDefault="009E1FC2" w:rsidP="00E97F9E">
            <w:pPr>
              <w:jc w:val="center"/>
              <w:rPr>
                <w:b/>
                <w:bCs/>
              </w:rPr>
            </w:pPr>
          </w:p>
          <w:p w14:paraId="6481D4FF" w14:textId="4FAF45F9" w:rsidR="009E1FC2" w:rsidRPr="00E97F9E" w:rsidRDefault="009E1FC2" w:rsidP="00E97F9E">
            <w:pPr>
              <w:jc w:val="center"/>
              <w:rPr>
                <w:b/>
                <w:bCs/>
              </w:rPr>
            </w:pPr>
            <w:r>
              <w:rPr>
                <w:b/>
                <w:bCs/>
              </w:rPr>
              <w:t>EJZAF (MK579 18.2</w:t>
            </w:r>
            <w:r w:rsidR="00885936">
              <w:rPr>
                <w:b/>
                <w:bCs/>
              </w:rPr>
              <w:t xml:space="preserve"> un 20</w:t>
            </w:r>
            <w:r>
              <w:rPr>
                <w:b/>
                <w:bCs/>
              </w:rPr>
              <w:t>)</w:t>
            </w:r>
          </w:p>
        </w:tc>
      </w:tr>
      <w:tr w:rsidR="009E1FC2" w14:paraId="25658201" w14:textId="77777777" w:rsidTr="00572C6C">
        <w:trPr>
          <w:trHeight w:val="586"/>
        </w:trPr>
        <w:tc>
          <w:tcPr>
            <w:tcW w:w="1513" w:type="dxa"/>
            <w:tcBorders>
              <w:top w:val="nil"/>
              <w:left w:val="nil"/>
              <w:bottom w:val="single" w:sz="4" w:space="0" w:color="auto"/>
              <w:right w:val="single" w:sz="4" w:space="0" w:color="auto"/>
            </w:tcBorders>
          </w:tcPr>
          <w:p w14:paraId="66533BC3" w14:textId="77777777" w:rsidR="009E1FC2" w:rsidRDefault="009E1FC2" w:rsidP="00852C97"/>
        </w:tc>
        <w:tc>
          <w:tcPr>
            <w:tcW w:w="7159" w:type="dxa"/>
            <w:gridSpan w:val="2"/>
            <w:tcBorders>
              <w:right w:val="single" w:sz="4" w:space="0" w:color="auto"/>
            </w:tcBorders>
            <w:shd w:val="clear" w:color="auto" w:fill="FBE4D5" w:themeFill="accent2" w:themeFillTint="33"/>
            <w:vAlign w:val="center"/>
          </w:tcPr>
          <w:p w14:paraId="09D2618E" w14:textId="4DC44A20" w:rsidR="009E1FC2" w:rsidRDefault="009E1FC2" w:rsidP="009E1FC2">
            <w:pPr>
              <w:jc w:val="center"/>
              <w:rPr>
                <w:b/>
                <w:bCs/>
              </w:rPr>
            </w:pPr>
            <w:r>
              <w:rPr>
                <w:b/>
                <w:bCs/>
              </w:rPr>
              <w:t>Ekonomikas aktivitātes</w:t>
            </w:r>
          </w:p>
        </w:tc>
        <w:tc>
          <w:tcPr>
            <w:tcW w:w="7310" w:type="dxa"/>
            <w:gridSpan w:val="2"/>
            <w:tcBorders>
              <w:left w:val="single" w:sz="4" w:space="0" w:color="auto"/>
            </w:tcBorders>
            <w:shd w:val="clear" w:color="auto" w:fill="FBE4D5" w:themeFill="accent2" w:themeFillTint="33"/>
            <w:vAlign w:val="center"/>
          </w:tcPr>
          <w:p w14:paraId="693806B0" w14:textId="04DECA5C" w:rsidR="009E1FC2" w:rsidRDefault="009E1FC2" w:rsidP="00E97F9E">
            <w:pPr>
              <w:jc w:val="center"/>
              <w:rPr>
                <w:b/>
                <w:bCs/>
              </w:rPr>
            </w:pPr>
            <w:r>
              <w:rPr>
                <w:b/>
                <w:bCs/>
              </w:rPr>
              <w:t>Sabiedriskā labuma projekti</w:t>
            </w:r>
          </w:p>
        </w:tc>
      </w:tr>
      <w:tr w:rsidR="009E1FC2" w14:paraId="60828C74" w14:textId="63D53452" w:rsidTr="009E1FC2">
        <w:trPr>
          <w:trHeight w:val="586"/>
        </w:trPr>
        <w:tc>
          <w:tcPr>
            <w:tcW w:w="1513" w:type="dxa"/>
            <w:vMerge w:val="restart"/>
            <w:tcBorders>
              <w:top w:val="single" w:sz="4" w:space="0" w:color="auto"/>
            </w:tcBorders>
            <w:shd w:val="clear" w:color="auto" w:fill="FBE4D5" w:themeFill="accent2" w:themeFillTint="33"/>
            <w:vAlign w:val="center"/>
          </w:tcPr>
          <w:p w14:paraId="6C071E11" w14:textId="03CFEE88" w:rsidR="009E1FC2" w:rsidRPr="00E97F9E" w:rsidRDefault="009E1FC2" w:rsidP="00994461">
            <w:pPr>
              <w:jc w:val="center"/>
              <w:rPr>
                <w:b/>
                <w:bCs/>
              </w:rPr>
            </w:pPr>
            <w:r w:rsidRPr="00373845">
              <w:rPr>
                <w:b/>
                <w:bCs/>
                <w:shd w:val="clear" w:color="auto" w:fill="FBE4D5" w:themeFill="accent2" w:themeFillTint="33"/>
              </w:rPr>
              <w:t>Būvniecības</w:t>
            </w:r>
            <w:r w:rsidRPr="00B57174">
              <w:rPr>
                <w:b/>
                <w:bCs/>
                <w:shd w:val="clear" w:color="auto" w:fill="FBE4D5" w:themeFill="accent2" w:themeFillTint="33"/>
              </w:rPr>
              <w:t xml:space="preserve"> ieceres dokumenti nav nepieci</w:t>
            </w:r>
            <w:r w:rsidRPr="00E97F9E">
              <w:rPr>
                <w:b/>
                <w:bCs/>
              </w:rPr>
              <w:t>ešami</w:t>
            </w:r>
          </w:p>
        </w:tc>
        <w:tc>
          <w:tcPr>
            <w:tcW w:w="4132" w:type="dxa"/>
          </w:tcPr>
          <w:p w14:paraId="5D11B519" w14:textId="18804DB4" w:rsidR="009E1FC2" w:rsidRDefault="009E1FC2" w:rsidP="00994461">
            <w:pPr>
              <w:rPr>
                <w:b/>
                <w:bCs/>
                <w:u w:val="single"/>
              </w:rPr>
            </w:pPr>
            <w:r>
              <w:t>B</w:t>
            </w:r>
            <w:r w:rsidRPr="00887006">
              <w:t xml:space="preserve">ūves </w:t>
            </w:r>
            <w:r w:rsidRPr="00887006">
              <w:rPr>
                <w:b/>
                <w:bCs/>
                <w:u w:val="single"/>
              </w:rPr>
              <w:t>atjaunošanas</w:t>
            </w:r>
            <w:r w:rsidRPr="00887006">
              <w:t xml:space="preserve"> izmaksas</w:t>
            </w:r>
            <w:r>
              <w:t>:</w:t>
            </w:r>
          </w:p>
          <w:p w14:paraId="2731A215" w14:textId="4903F423" w:rsidR="009E1FC2" w:rsidRDefault="009E1FC2" w:rsidP="00994461">
            <w:r>
              <w:rPr>
                <w:b/>
                <w:bCs/>
                <w:u w:val="single"/>
              </w:rPr>
              <w:t>Attiecināmas t</w:t>
            </w:r>
            <w:r w:rsidRPr="00887006">
              <w:rPr>
                <w:b/>
                <w:bCs/>
                <w:u w:val="single"/>
              </w:rPr>
              <w:t>ikai</w:t>
            </w:r>
            <w:r>
              <w:t xml:space="preserve"> </w:t>
            </w:r>
            <w:r w:rsidRPr="00887006">
              <w:t xml:space="preserve">ja nepieciešams tehniski vai funkcionāli uzlabot </w:t>
            </w:r>
            <w:r w:rsidRPr="00373845">
              <w:rPr>
                <w:highlight w:val="yellow"/>
              </w:rPr>
              <w:t>valsts aizsargājamo kultūras pieminekļu sarakstā iekļautu būvi</w:t>
            </w:r>
            <w:r w:rsidRPr="00887006">
              <w:t xml:space="preserve">, kas ir tūrisma pakalpojuma sniegšanas vieta, vai </w:t>
            </w:r>
            <w:r w:rsidRPr="00373845">
              <w:rPr>
                <w:highlight w:val="green"/>
              </w:rPr>
              <w:t>ražošanas būvi</w:t>
            </w:r>
            <w:r w:rsidRPr="00887006">
              <w:t>, un būves restaurācijas izmaksas</w:t>
            </w:r>
            <w:r>
              <w:t>.</w:t>
            </w:r>
          </w:p>
          <w:p w14:paraId="153B7649" w14:textId="77777777" w:rsidR="009E1FC2" w:rsidRDefault="009E1FC2" w:rsidP="00994461">
            <w:pPr>
              <w:pStyle w:val="ListParagraph"/>
              <w:numPr>
                <w:ilvl w:val="0"/>
                <w:numId w:val="1"/>
              </w:numPr>
            </w:pPr>
            <w:r>
              <w:t>1.grupas ēkām (līdz 60 m</w:t>
            </w:r>
            <w:r>
              <w:rPr>
                <w:vertAlign w:val="superscript"/>
              </w:rPr>
              <w:t>2</w:t>
            </w:r>
            <w:r>
              <w:t>) atjaunošanai;</w:t>
            </w:r>
          </w:p>
          <w:p w14:paraId="1297BCD3" w14:textId="77777777" w:rsidR="009E1FC2" w:rsidRDefault="009E1FC2" w:rsidP="00994461">
            <w:pPr>
              <w:pStyle w:val="ListParagraph"/>
              <w:numPr>
                <w:ilvl w:val="0"/>
                <w:numId w:val="1"/>
              </w:numPr>
            </w:pPr>
            <w:r>
              <w:t xml:space="preserve">2.grupas </w:t>
            </w:r>
            <w:proofErr w:type="spellStart"/>
            <w:r>
              <w:t>vienstāva</w:t>
            </w:r>
            <w:proofErr w:type="spellEnd"/>
            <w:r>
              <w:t xml:space="preserve"> palīgēkas atjaunošanai, jumta seguma nomaiņai.</w:t>
            </w:r>
          </w:p>
          <w:p w14:paraId="331AA6DA" w14:textId="08A3F6B0" w:rsidR="009E1FC2" w:rsidRDefault="009E1FC2" w:rsidP="00994461">
            <w:pPr>
              <w:pStyle w:val="ListParagraph"/>
            </w:pPr>
          </w:p>
        </w:tc>
        <w:tc>
          <w:tcPr>
            <w:tcW w:w="3027" w:type="dxa"/>
          </w:tcPr>
          <w:p w14:paraId="5CC6B26E" w14:textId="77777777" w:rsidR="009E1FC2" w:rsidRDefault="009E1FC2" w:rsidP="009E1FC2">
            <w:r>
              <w:t>B</w:t>
            </w:r>
            <w:r w:rsidRPr="00887006">
              <w:t xml:space="preserve">ūves </w:t>
            </w:r>
            <w:r w:rsidRPr="00887006">
              <w:rPr>
                <w:b/>
                <w:bCs/>
                <w:u w:val="single"/>
              </w:rPr>
              <w:t>atjaunošanas</w:t>
            </w:r>
            <w:r w:rsidRPr="00887006">
              <w:t xml:space="preserve"> izmaksas</w:t>
            </w:r>
            <w:r>
              <w:t>:</w:t>
            </w:r>
          </w:p>
          <w:p w14:paraId="4DB810CF" w14:textId="77777777" w:rsidR="009E1FC2" w:rsidRPr="00AB5746" w:rsidRDefault="009E1FC2" w:rsidP="009E1FC2">
            <w:r w:rsidRPr="00AB5746">
              <w:t> </w:t>
            </w:r>
            <w:r w:rsidRPr="00AB5746">
              <w:rPr>
                <w:b/>
                <w:bCs/>
                <w:u w:val="single"/>
              </w:rPr>
              <w:t xml:space="preserve">Attiecināmas tikai </w:t>
            </w:r>
            <w:r w:rsidRPr="00AB5746">
              <w:t xml:space="preserve">ja būve tiek </w:t>
            </w:r>
            <w:r w:rsidRPr="009E1FC2">
              <w:rPr>
                <w:highlight w:val="yellow"/>
              </w:rPr>
              <w:t>tehniski vai funkcionāli uzlabota energoefektivitātes palielināšanai, telpu pārveidošanai</w:t>
            </w:r>
            <w:r w:rsidRPr="00AB5746">
              <w:t xml:space="preserve"> vai </w:t>
            </w:r>
            <w:r w:rsidRPr="009E1FC2">
              <w:rPr>
                <w:highlight w:val="green"/>
              </w:rPr>
              <w:t>pielāgošanai ražošanas vajadzībām</w:t>
            </w:r>
            <w:r w:rsidRPr="00AB5746">
              <w:t>, nemainot būves apjomu vai nesošo elementu nestspēju</w:t>
            </w:r>
          </w:p>
          <w:p w14:paraId="2969AFCA" w14:textId="77777777" w:rsidR="009E1FC2" w:rsidRDefault="009E1FC2" w:rsidP="009E1FC2">
            <w:pPr>
              <w:pStyle w:val="ListParagraph"/>
              <w:numPr>
                <w:ilvl w:val="0"/>
                <w:numId w:val="1"/>
              </w:numPr>
            </w:pPr>
            <w:r>
              <w:t>1.grupas ēkām (līdz 60 m</w:t>
            </w:r>
            <w:r>
              <w:rPr>
                <w:vertAlign w:val="superscript"/>
              </w:rPr>
              <w:t>2</w:t>
            </w:r>
            <w:r>
              <w:t>) atjaunošanai;</w:t>
            </w:r>
          </w:p>
          <w:p w14:paraId="5689A303" w14:textId="77777777" w:rsidR="009E1FC2" w:rsidRDefault="009E1FC2" w:rsidP="009E1FC2">
            <w:pPr>
              <w:pStyle w:val="ListParagraph"/>
              <w:numPr>
                <w:ilvl w:val="0"/>
                <w:numId w:val="1"/>
              </w:numPr>
            </w:pPr>
            <w:r>
              <w:t xml:space="preserve">2.grupas </w:t>
            </w:r>
            <w:proofErr w:type="spellStart"/>
            <w:r>
              <w:t>vienstāva</w:t>
            </w:r>
            <w:proofErr w:type="spellEnd"/>
            <w:r>
              <w:t xml:space="preserve"> palīgēkas atjaunošanai, jumta seguma nomaiņai.</w:t>
            </w:r>
          </w:p>
          <w:p w14:paraId="7D320705" w14:textId="77777777" w:rsidR="009E1FC2" w:rsidRDefault="009E1FC2" w:rsidP="00994461"/>
        </w:tc>
        <w:tc>
          <w:tcPr>
            <w:tcW w:w="3655" w:type="dxa"/>
          </w:tcPr>
          <w:p w14:paraId="32794527" w14:textId="699E6914" w:rsidR="009E1FC2" w:rsidRDefault="009E1FC2" w:rsidP="00994461">
            <w:pPr>
              <w:rPr>
                <w:b/>
                <w:bCs/>
                <w:u w:val="single"/>
              </w:rPr>
            </w:pPr>
            <w:r>
              <w:t>B</w:t>
            </w:r>
            <w:r w:rsidRPr="00887006">
              <w:t xml:space="preserve">ūves </w:t>
            </w:r>
            <w:r w:rsidRPr="00887006">
              <w:rPr>
                <w:b/>
                <w:bCs/>
                <w:u w:val="single"/>
              </w:rPr>
              <w:t>atjaunošanas</w:t>
            </w:r>
            <w:r w:rsidRPr="00887006">
              <w:t xml:space="preserve"> izmaksas</w:t>
            </w:r>
            <w:r>
              <w:t>:</w:t>
            </w:r>
          </w:p>
          <w:p w14:paraId="5B54F66F" w14:textId="77777777" w:rsidR="009E1FC2" w:rsidRDefault="009E1FC2" w:rsidP="00994461">
            <w:pPr>
              <w:pStyle w:val="ListParagraph"/>
              <w:numPr>
                <w:ilvl w:val="0"/>
                <w:numId w:val="1"/>
              </w:numPr>
            </w:pPr>
            <w:r>
              <w:t>1.grupas ēkām (līdz 60 m</w:t>
            </w:r>
            <w:r>
              <w:rPr>
                <w:vertAlign w:val="superscript"/>
              </w:rPr>
              <w:t>2</w:t>
            </w:r>
            <w:r>
              <w:t>) atjaunošanai;</w:t>
            </w:r>
          </w:p>
          <w:p w14:paraId="657ED477" w14:textId="77777777" w:rsidR="009E1FC2" w:rsidRDefault="009E1FC2" w:rsidP="00994461">
            <w:pPr>
              <w:pStyle w:val="ListParagraph"/>
              <w:numPr>
                <w:ilvl w:val="0"/>
                <w:numId w:val="1"/>
              </w:numPr>
            </w:pPr>
            <w:r>
              <w:t xml:space="preserve">2.grupas </w:t>
            </w:r>
            <w:proofErr w:type="spellStart"/>
            <w:r>
              <w:t>vienstāva</w:t>
            </w:r>
            <w:proofErr w:type="spellEnd"/>
            <w:r>
              <w:t xml:space="preserve"> palīgēkas atjaunošanai, jumta seguma nomaiņai.</w:t>
            </w:r>
          </w:p>
          <w:p w14:paraId="207FC3AD" w14:textId="2442D1D9" w:rsidR="009E1FC2" w:rsidRDefault="009E1FC2" w:rsidP="00994461"/>
        </w:tc>
        <w:tc>
          <w:tcPr>
            <w:tcW w:w="3655" w:type="dxa"/>
          </w:tcPr>
          <w:p w14:paraId="2BF4251C" w14:textId="77777777" w:rsidR="009E1FC2" w:rsidRDefault="009E1FC2" w:rsidP="009E1FC2">
            <w:r>
              <w:t>B</w:t>
            </w:r>
            <w:r w:rsidRPr="00887006">
              <w:t xml:space="preserve">ūves </w:t>
            </w:r>
            <w:r w:rsidRPr="00887006">
              <w:rPr>
                <w:b/>
                <w:bCs/>
                <w:u w:val="single"/>
              </w:rPr>
              <w:t>atjaunošanas</w:t>
            </w:r>
            <w:r w:rsidRPr="00887006">
              <w:t xml:space="preserve"> izmaksas</w:t>
            </w:r>
            <w:r>
              <w:t>:</w:t>
            </w:r>
          </w:p>
          <w:p w14:paraId="7F254BFB" w14:textId="5F7BF6B9" w:rsidR="009E1FC2" w:rsidRDefault="009E1FC2" w:rsidP="009E1FC2">
            <w:r w:rsidRPr="00AB5746">
              <w:t xml:space="preserve"> ja būve tiek </w:t>
            </w:r>
            <w:r w:rsidRPr="009E1FC2">
              <w:rPr>
                <w:highlight w:val="yellow"/>
              </w:rPr>
              <w:t>tehniski vai funkcionāli uzlabota energoefektivitātes palielināšanai, telpu pārveidošana</w:t>
            </w:r>
          </w:p>
          <w:p w14:paraId="09D9E4AB" w14:textId="77777777" w:rsidR="009E1FC2" w:rsidRDefault="009E1FC2" w:rsidP="009E1FC2">
            <w:pPr>
              <w:pStyle w:val="ListParagraph"/>
              <w:numPr>
                <w:ilvl w:val="0"/>
                <w:numId w:val="1"/>
              </w:numPr>
            </w:pPr>
            <w:r>
              <w:t>1.grupas ēkām (līdz 60 m</w:t>
            </w:r>
            <w:r>
              <w:rPr>
                <w:vertAlign w:val="superscript"/>
              </w:rPr>
              <w:t>2</w:t>
            </w:r>
            <w:r>
              <w:t>) atjaunošanai;</w:t>
            </w:r>
          </w:p>
          <w:p w14:paraId="072632EA" w14:textId="77777777" w:rsidR="009E1FC2" w:rsidRDefault="009E1FC2" w:rsidP="009E1FC2">
            <w:pPr>
              <w:pStyle w:val="ListParagraph"/>
              <w:numPr>
                <w:ilvl w:val="0"/>
                <w:numId w:val="1"/>
              </w:numPr>
            </w:pPr>
            <w:r>
              <w:t xml:space="preserve">2.grupas </w:t>
            </w:r>
            <w:proofErr w:type="spellStart"/>
            <w:r>
              <w:t>vienstāva</w:t>
            </w:r>
            <w:proofErr w:type="spellEnd"/>
            <w:r>
              <w:t xml:space="preserve"> palīgēkas atjaunošanai, jumta seguma nomaiņai.</w:t>
            </w:r>
          </w:p>
          <w:p w14:paraId="05450708" w14:textId="54A9D207" w:rsidR="009E1FC2" w:rsidRDefault="009E1FC2" w:rsidP="009E1FC2"/>
        </w:tc>
      </w:tr>
      <w:tr w:rsidR="009E1FC2" w14:paraId="73D51475" w14:textId="442B7E32" w:rsidTr="009E1FC2">
        <w:trPr>
          <w:trHeight w:val="586"/>
        </w:trPr>
        <w:tc>
          <w:tcPr>
            <w:tcW w:w="1513" w:type="dxa"/>
            <w:vMerge/>
            <w:shd w:val="clear" w:color="auto" w:fill="FBE4D5" w:themeFill="accent2" w:themeFillTint="33"/>
          </w:tcPr>
          <w:p w14:paraId="0B53185C" w14:textId="77777777" w:rsidR="009E1FC2" w:rsidRDefault="009E1FC2" w:rsidP="00994461"/>
        </w:tc>
        <w:tc>
          <w:tcPr>
            <w:tcW w:w="4132" w:type="dxa"/>
          </w:tcPr>
          <w:p w14:paraId="68737EDA" w14:textId="6619A293" w:rsidR="009E1FC2" w:rsidRDefault="009E1FC2" w:rsidP="00994461">
            <w:r>
              <w:t>J</w:t>
            </w:r>
            <w:r w:rsidRPr="00887006">
              <w:t>aunas būvniecības, būves pārbūves, būves ierīkošanas, būves novietošanas izmaksas</w:t>
            </w:r>
            <w:r>
              <w:t>:</w:t>
            </w:r>
          </w:p>
          <w:p w14:paraId="1605893D" w14:textId="7D5607BB" w:rsidR="009E1FC2" w:rsidRDefault="009E1FC2" w:rsidP="00994461">
            <w:pPr>
              <w:pStyle w:val="ListParagraph"/>
              <w:numPr>
                <w:ilvl w:val="0"/>
                <w:numId w:val="2"/>
              </w:numPr>
            </w:pPr>
            <w:proofErr w:type="spellStart"/>
            <w:r>
              <w:t>Mazēku</w:t>
            </w:r>
            <w:proofErr w:type="spellEnd"/>
            <w:r>
              <w:t xml:space="preserve"> līdz 25 m</w:t>
            </w:r>
            <w:r>
              <w:rPr>
                <w:vertAlign w:val="superscript"/>
              </w:rPr>
              <w:t>2</w:t>
            </w:r>
            <w:r>
              <w:t xml:space="preserve"> jaunai būvniecībai;</w:t>
            </w:r>
          </w:p>
          <w:p w14:paraId="5E35B0FE" w14:textId="77777777" w:rsidR="009E1FC2" w:rsidRDefault="009E1FC2" w:rsidP="00994461">
            <w:pPr>
              <w:pStyle w:val="ListParagraph"/>
              <w:numPr>
                <w:ilvl w:val="0"/>
                <w:numId w:val="2"/>
              </w:numPr>
            </w:pPr>
            <w:r>
              <w:t xml:space="preserve">2.grupas </w:t>
            </w:r>
            <w:proofErr w:type="spellStart"/>
            <w:r>
              <w:t>vienstāva</w:t>
            </w:r>
            <w:proofErr w:type="spellEnd"/>
            <w:r>
              <w:t xml:space="preserve"> palīgēkas pārbūvei.</w:t>
            </w:r>
          </w:p>
          <w:p w14:paraId="056BC168" w14:textId="70C1EF9B" w:rsidR="009E1FC2" w:rsidRDefault="009E1FC2" w:rsidP="00994461">
            <w:pPr>
              <w:pStyle w:val="ListParagraph"/>
            </w:pPr>
          </w:p>
        </w:tc>
        <w:tc>
          <w:tcPr>
            <w:tcW w:w="3027" w:type="dxa"/>
          </w:tcPr>
          <w:p w14:paraId="78127085" w14:textId="77777777" w:rsidR="009E1FC2" w:rsidRDefault="009E1FC2" w:rsidP="009E1FC2">
            <w:r>
              <w:t>J</w:t>
            </w:r>
            <w:r w:rsidRPr="00887006">
              <w:t>aunas būvniecības, būves pārbūves, būves ierīkošanas, būves novietošanas izmaksas</w:t>
            </w:r>
            <w:r>
              <w:t>:</w:t>
            </w:r>
          </w:p>
          <w:p w14:paraId="76738D82" w14:textId="77777777" w:rsidR="009E1FC2" w:rsidRDefault="009E1FC2" w:rsidP="009E1FC2">
            <w:pPr>
              <w:pStyle w:val="ListParagraph"/>
              <w:numPr>
                <w:ilvl w:val="0"/>
                <w:numId w:val="2"/>
              </w:numPr>
            </w:pPr>
            <w:proofErr w:type="spellStart"/>
            <w:r>
              <w:t>Mazēku</w:t>
            </w:r>
            <w:proofErr w:type="spellEnd"/>
            <w:r>
              <w:t xml:space="preserve"> līdz 25 m</w:t>
            </w:r>
            <w:r>
              <w:rPr>
                <w:vertAlign w:val="superscript"/>
              </w:rPr>
              <w:t>2</w:t>
            </w:r>
            <w:r>
              <w:t xml:space="preserve"> jaunai būvniecībai;</w:t>
            </w:r>
          </w:p>
          <w:p w14:paraId="4A08A358" w14:textId="77777777" w:rsidR="009E1FC2" w:rsidRDefault="009E1FC2" w:rsidP="009E1FC2">
            <w:pPr>
              <w:pStyle w:val="ListParagraph"/>
              <w:numPr>
                <w:ilvl w:val="0"/>
                <w:numId w:val="2"/>
              </w:numPr>
            </w:pPr>
            <w:r>
              <w:t xml:space="preserve">2.grupas </w:t>
            </w:r>
            <w:proofErr w:type="spellStart"/>
            <w:r>
              <w:t>vienstāva</w:t>
            </w:r>
            <w:proofErr w:type="spellEnd"/>
            <w:r>
              <w:t xml:space="preserve"> palīgēkas pārbūvei.</w:t>
            </w:r>
          </w:p>
          <w:p w14:paraId="6A8F3822" w14:textId="77777777" w:rsidR="009E1FC2" w:rsidRDefault="009E1FC2" w:rsidP="00994461"/>
        </w:tc>
        <w:tc>
          <w:tcPr>
            <w:tcW w:w="3655" w:type="dxa"/>
          </w:tcPr>
          <w:p w14:paraId="592B60F1" w14:textId="03443418" w:rsidR="009E1FC2" w:rsidRDefault="009E1FC2" w:rsidP="00994461">
            <w:r>
              <w:t>J</w:t>
            </w:r>
            <w:r w:rsidRPr="00887006">
              <w:t>aunas būvniecības, būves pārbūves, būves ierīkošanas, būves novietošanas izmaksas</w:t>
            </w:r>
            <w:r>
              <w:t>:</w:t>
            </w:r>
          </w:p>
          <w:p w14:paraId="7032E8FF" w14:textId="77777777" w:rsidR="009E1FC2" w:rsidRDefault="009E1FC2" w:rsidP="00994461">
            <w:pPr>
              <w:pStyle w:val="ListParagraph"/>
              <w:numPr>
                <w:ilvl w:val="0"/>
                <w:numId w:val="2"/>
              </w:numPr>
            </w:pPr>
            <w:proofErr w:type="spellStart"/>
            <w:r>
              <w:t>Mazēku</w:t>
            </w:r>
            <w:proofErr w:type="spellEnd"/>
            <w:r>
              <w:t xml:space="preserve"> līdz 25 m</w:t>
            </w:r>
            <w:r>
              <w:rPr>
                <w:vertAlign w:val="superscript"/>
              </w:rPr>
              <w:t>2</w:t>
            </w:r>
            <w:r>
              <w:t xml:space="preserve"> jaunai būvniecībai;</w:t>
            </w:r>
          </w:p>
          <w:p w14:paraId="6C216A9B" w14:textId="77777777" w:rsidR="009E1FC2" w:rsidRDefault="009E1FC2" w:rsidP="00994461">
            <w:pPr>
              <w:pStyle w:val="ListParagraph"/>
              <w:numPr>
                <w:ilvl w:val="0"/>
                <w:numId w:val="2"/>
              </w:numPr>
            </w:pPr>
            <w:r>
              <w:t xml:space="preserve">2.grupas </w:t>
            </w:r>
            <w:proofErr w:type="spellStart"/>
            <w:r>
              <w:t>vienstāva</w:t>
            </w:r>
            <w:proofErr w:type="spellEnd"/>
            <w:r>
              <w:t xml:space="preserve"> palīgēkas pārbūvei.</w:t>
            </w:r>
          </w:p>
          <w:p w14:paraId="11E75C85" w14:textId="77777777" w:rsidR="009E1FC2" w:rsidRDefault="009E1FC2" w:rsidP="00994461"/>
        </w:tc>
        <w:tc>
          <w:tcPr>
            <w:tcW w:w="3655" w:type="dxa"/>
          </w:tcPr>
          <w:p w14:paraId="42D45EA6" w14:textId="77777777" w:rsidR="009E1FC2" w:rsidRDefault="009E1FC2" w:rsidP="009E1FC2">
            <w:r>
              <w:t>J</w:t>
            </w:r>
            <w:r w:rsidRPr="00887006">
              <w:t>aunas būvniecības, būves pārbūves, būves ierīkošanas, būves novietošanas izmaksas</w:t>
            </w:r>
            <w:r>
              <w:t>:</w:t>
            </w:r>
          </w:p>
          <w:p w14:paraId="683FE77C" w14:textId="77777777" w:rsidR="009E1FC2" w:rsidRDefault="009E1FC2" w:rsidP="009E1FC2">
            <w:pPr>
              <w:pStyle w:val="ListParagraph"/>
              <w:numPr>
                <w:ilvl w:val="0"/>
                <w:numId w:val="2"/>
              </w:numPr>
            </w:pPr>
            <w:proofErr w:type="spellStart"/>
            <w:r>
              <w:t>Mazēku</w:t>
            </w:r>
            <w:proofErr w:type="spellEnd"/>
            <w:r>
              <w:t xml:space="preserve"> līdz 25 m</w:t>
            </w:r>
            <w:r>
              <w:rPr>
                <w:vertAlign w:val="superscript"/>
              </w:rPr>
              <w:t>2</w:t>
            </w:r>
            <w:r>
              <w:t xml:space="preserve"> jaunai būvniecībai;</w:t>
            </w:r>
          </w:p>
          <w:p w14:paraId="76A07070" w14:textId="77777777" w:rsidR="009E1FC2" w:rsidRDefault="009E1FC2" w:rsidP="009E1FC2">
            <w:pPr>
              <w:pStyle w:val="ListParagraph"/>
              <w:numPr>
                <w:ilvl w:val="0"/>
                <w:numId w:val="2"/>
              </w:numPr>
            </w:pPr>
            <w:r>
              <w:t xml:space="preserve">2.grupas </w:t>
            </w:r>
            <w:proofErr w:type="spellStart"/>
            <w:r>
              <w:t>vienstāva</w:t>
            </w:r>
            <w:proofErr w:type="spellEnd"/>
            <w:r>
              <w:t xml:space="preserve"> palīgēkas pārbūvei.</w:t>
            </w:r>
          </w:p>
          <w:p w14:paraId="53951828" w14:textId="77777777" w:rsidR="009E1FC2" w:rsidRDefault="009E1FC2" w:rsidP="00994461"/>
        </w:tc>
      </w:tr>
      <w:tr w:rsidR="009E1FC2" w14:paraId="298E60D1" w14:textId="19CCA820" w:rsidTr="009E1FC2">
        <w:trPr>
          <w:trHeight w:val="565"/>
        </w:trPr>
        <w:tc>
          <w:tcPr>
            <w:tcW w:w="1513" w:type="dxa"/>
            <w:vMerge w:val="restart"/>
            <w:shd w:val="clear" w:color="auto" w:fill="FBE4D5" w:themeFill="accent2" w:themeFillTint="33"/>
            <w:vAlign w:val="center"/>
          </w:tcPr>
          <w:p w14:paraId="507ECAE8" w14:textId="22F45163" w:rsidR="009E1FC2" w:rsidRPr="00E97F9E" w:rsidRDefault="009E1FC2" w:rsidP="00994461">
            <w:pPr>
              <w:jc w:val="center"/>
              <w:rPr>
                <w:b/>
                <w:bCs/>
              </w:rPr>
            </w:pPr>
            <w:r w:rsidRPr="00E97F9E">
              <w:rPr>
                <w:b/>
                <w:bCs/>
              </w:rPr>
              <w:t>Paziņojums par būvniecību</w:t>
            </w:r>
          </w:p>
        </w:tc>
        <w:tc>
          <w:tcPr>
            <w:tcW w:w="4132" w:type="dxa"/>
          </w:tcPr>
          <w:p w14:paraId="2D891DD1" w14:textId="5C2B7534" w:rsidR="009E1FC2" w:rsidRDefault="009E1FC2" w:rsidP="00994461">
            <w:pPr>
              <w:rPr>
                <w:b/>
                <w:bCs/>
                <w:u w:val="single"/>
              </w:rPr>
            </w:pPr>
            <w:r>
              <w:t>B</w:t>
            </w:r>
            <w:r w:rsidRPr="00887006">
              <w:t xml:space="preserve">ūves </w:t>
            </w:r>
            <w:r w:rsidRPr="00887006">
              <w:rPr>
                <w:b/>
                <w:bCs/>
                <w:u w:val="single"/>
              </w:rPr>
              <w:t>atjaunošanas</w:t>
            </w:r>
            <w:r w:rsidRPr="00887006">
              <w:t xml:space="preserve"> izmaksas</w:t>
            </w:r>
            <w:r>
              <w:t>:</w:t>
            </w:r>
          </w:p>
          <w:p w14:paraId="1AC96B9E" w14:textId="327B520F" w:rsidR="009E1FC2" w:rsidRDefault="009E1FC2" w:rsidP="00994461">
            <w:r>
              <w:rPr>
                <w:b/>
                <w:bCs/>
                <w:u w:val="single"/>
              </w:rPr>
              <w:t>Attiecināmas t</w:t>
            </w:r>
            <w:r w:rsidRPr="00887006">
              <w:rPr>
                <w:b/>
                <w:bCs/>
                <w:u w:val="single"/>
              </w:rPr>
              <w:t>ikai</w:t>
            </w:r>
            <w:r>
              <w:t xml:space="preserve"> </w:t>
            </w:r>
            <w:r w:rsidRPr="00887006">
              <w:t xml:space="preserve">ja nepieciešams tehniski vai funkcionāli uzlabot </w:t>
            </w:r>
            <w:r w:rsidRPr="00373845">
              <w:rPr>
                <w:highlight w:val="yellow"/>
              </w:rPr>
              <w:t>valsts aizsargājamo kultūras pieminekļu sarakstā iekļautu būvi</w:t>
            </w:r>
            <w:r w:rsidRPr="00887006">
              <w:t xml:space="preserve">, kas ir tūrisma pakalpojuma sniegšanas vieta, vai </w:t>
            </w:r>
            <w:r w:rsidRPr="00373845">
              <w:rPr>
                <w:highlight w:val="green"/>
              </w:rPr>
              <w:t>ražošanas būvi</w:t>
            </w:r>
            <w:r w:rsidRPr="00887006">
              <w:t>, un būves restaurācijas izmaksas</w:t>
            </w:r>
            <w:r>
              <w:t>.</w:t>
            </w:r>
          </w:p>
          <w:p w14:paraId="7703A8C9" w14:textId="77777777" w:rsidR="009E1FC2" w:rsidRDefault="009E1FC2" w:rsidP="00994461">
            <w:pPr>
              <w:pStyle w:val="ListParagraph"/>
              <w:numPr>
                <w:ilvl w:val="0"/>
                <w:numId w:val="3"/>
              </w:numPr>
            </w:pPr>
            <w:r>
              <w:lastRenderedPageBreak/>
              <w:t>2. vai 3. grupas ēkām vienkāršotai atjaunošanai;</w:t>
            </w:r>
          </w:p>
          <w:p w14:paraId="13F8DA7C" w14:textId="1527ADD0" w:rsidR="009E1FC2" w:rsidRDefault="009E1FC2" w:rsidP="00994461">
            <w:pPr>
              <w:pStyle w:val="ListParagraph"/>
            </w:pPr>
          </w:p>
        </w:tc>
        <w:tc>
          <w:tcPr>
            <w:tcW w:w="3027" w:type="dxa"/>
          </w:tcPr>
          <w:p w14:paraId="085E81F1" w14:textId="77777777" w:rsidR="009E1FC2" w:rsidRDefault="009E1FC2" w:rsidP="009E1FC2">
            <w:r>
              <w:lastRenderedPageBreak/>
              <w:t>B</w:t>
            </w:r>
            <w:r w:rsidRPr="00887006">
              <w:t xml:space="preserve">ūves </w:t>
            </w:r>
            <w:r w:rsidRPr="00887006">
              <w:rPr>
                <w:b/>
                <w:bCs/>
                <w:u w:val="single"/>
              </w:rPr>
              <w:t>atjaunošanas</w:t>
            </w:r>
            <w:r w:rsidRPr="00887006">
              <w:t xml:space="preserve"> izmaksas</w:t>
            </w:r>
            <w:r>
              <w:t>:</w:t>
            </w:r>
          </w:p>
          <w:p w14:paraId="2CABA9FB" w14:textId="77777777" w:rsidR="009E1FC2" w:rsidRDefault="009E1FC2" w:rsidP="009E1FC2">
            <w:r w:rsidRPr="00AB5746">
              <w:t> </w:t>
            </w:r>
            <w:r w:rsidRPr="00AB5746">
              <w:rPr>
                <w:b/>
                <w:bCs/>
                <w:u w:val="single"/>
              </w:rPr>
              <w:t xml:space="preserve">Attiecināmas tikai </w:t>
            </w:r>
            <w:r w:rsidRPr="00AB5746">
              <w:t xml:space="preserve">ja būve tiek </w:t>
            </w:r>
            <w:r w:rsidRPr="009E1FC2">
              <w:rPr>
                <w:highlight w:val="yellow"/>
              </w:rPr>
              <w:t>tehniski vai funkcionāli uzlabota energoefektivitātes palielināšanai, telpu pārveidošanai</w:t>
            </w:r>
            <w:r w:rsidRPr="00AB5746">
              <w:t xml:space="preserve"> vai </w:t>
            </w:r>
            <w:r w:rsidRPr="009E1FC2">
              <w:rPr>
                <w:highlight w:val="green"/>
              </w:rPr>
              <w:t>pielāgošanai ražošanas vajadzībām</w:t>
            </w:r>
            <w:r w:rsidRPr="00AB5746">
              <w:t xml:space="preserve">, </w:t>
            </w:r>
            <w:r w:rsidRPr="00AB5746">
              <w:lastRenderedPageBreak/>
              <w:t>nemainot būves apjomu vai nesošo elementu nestspēju</w:t>
            </w:r>
          </w:p>
          <w:p w14:paraId="67292EC9" w14:textId="74792733" w:rsidR="009E1FC2" w:rsidRPr="00AB5746" w:rsidRDefault="009E1FC2" w:rsidP="009E1FC2">
            <w:pPr>
              <w:pStyle w:val="ListParagraph"/>
              <w:numPr>
                <w:ilvl w:val="0"/>
                <w:numId w:val="3"/>
              </w:numPr>
            </w:pPr>
            <w:r>
              <w:t>2. vai 3. grupas ēkām vienkāršotai atjaunošanai;</w:t>
            </w:r>
          </w:p>
          <w:p w14:paraId="4F4C3D8B" w14:textId="77777777" w:rsidR="009E1FC2" w:rsidRDefault="009E1FC2" w:rsidP="00994461"/>
        </w:tc>
        <w:tc>
          <w:tcPr>
            <w:tcW w:w="3655" w:type="dxa"/>
          </w:tcPr>
          <w:p w14:paraId="4404F1B1" w14:textId="13697222" w:rsidR="009E1FC2" w:rsidRDefault="009E1FC2" w:rsidP="00994461">
            <w:pPr>
              <w:rPr>
                <w:b/>
                <w:bCs/>
                <w:u w:val="single"/>
              </w:rPr>
            </w:pPr>
            <w:r>
              <w:lastRenderedPageBreak/>
              <w:t>B</w:t>
            </w:r>
            <w:r w:rsidRPr="00887006">
              <w:t xml:space="preserve">ūves </w:t>
            </w:r>
            <w:r w:rsidRPr="00887006">
              <w:rPr>
                <w:b/>
                <w:bCs/>
                <w:u w:val="single"/>
              </w:rPr>
              <w:t>atjaunošanas</w:t>
            </w:r>
            <w:r w:rsidRPr="00887006">
              <w:t xml:space="preserve"> izmaksas</w:t>
            </w:r>
            <w:r>
              <w:t>:</w:t>
            </w:r>
          </w:p>
          <w:p w14:paraId="2AFE8BD1" w14:textId="77777777" w:rsidR="009E1FC2" w:rsidRDefault="009E1FC2" w:rsidP="00994461">
            <w:pPr>
              <w:pStyle w:val="ListParagraph"/>
              <w:numPr>
                <w:ilvl w:val="0"/>
                <w:numId w:val="3"/>
              </w:numPr>
            </w:pPr>
            <w:r>
              <w:t>2. vai 3. grupas ēkām vienkāršotai atjaunošanai;</w:t>
            </w:r>
          </w:p>
          <w:p w14:paraId="4CE28829" w14:textId="77777777" w:rsidR="009E1FC2" w:rsidRDefault="009E1FC2" w:rsidP="00994461"/>
        </w:tc>
        <w:tc>
          <w:tcPr>
            <w:tcW w:w="3655" w:type="dxa"/>
          </w:tcPr>
          <w:p w14:paraId="2E165C17" w14:textId="77777777" w:rsidR="009E1FC2" w:rsidRDefault="009E1FC2" w:rsidP="009E1FC2">
            <w:r>
              <w:t>B</w:t>
            </w:r>
            <w:r w:rsidRPr="00887006">
              <w:t xml:space="preserve">ūves </w:t>
            </w:r>
            <w:r w:rsidRPr="00887006">
              <w:rPr>
                <w:b/>
                <w:bCs/>
                <w:u w:val="single"/>
              </w:rPr>
              <w:t>atjaunošanas</w:t>
            </w:r>
            <w:r w:rsidRPr="00887006">
              <w:t xml:space="preserve"> izmaksas</w:t>
            </w:r>
            <w:r>
              <w:t>:</w:t>
            </w:r>
          </w:p>
          <w:p w14:paraId="2AD7B8F2" w14:textId="77777777" w:rsidR="009E1FC2" w:rsidRDefault="009E1FC2" w:rsidP="009E1FC2">
            <w:r w:rsidRPr="00AB5746">
              <w:t xml:space="preserve"> ja būve tiek </w:t>
            </w:r>
            <w:r w:rsidRPr="009E1FC2">
              <w:rPr>
                <w:highlight w:val="yellow"/>
              </w:rPr>
              <w:t>tehniski vai funkcionāli uzlabota energoefektivitātes palielināšanai, telpu pārveidošana</w:t>
            </w:r>
          </w:p>
          <w:p w14:paraId="74672034" w14:textId="77777777" w:rsidR="009E1FC2" w:rsidRDefault="009E1FC2" w:rsidP="009E1FC2">
            <w:pPr>
              <w:pStyle w:val="ListParagraph"/>
              <w:numPr>
                <w:ilvl w:val="0"/>
                <w:numId w:val="3"/>
              </w:numPr>
            </w:pPr>
            <w:r>
              <w:t>2. vai 3. grupas ēkām vienkāršotai atjaunošanai;</w:t>
            </w:r>
          </w:p>
          <w:p w14:paraId="5B5A9530" w14:textId="77777777" w:rsidR="009E1FC2" w:rsidRDefault="009E1FC2" w:rsidP="00994461"/>
        </w:tc>
      </w:tr>
      <w:tr w:rsidR="009E1FC2" w14:paraId="71E855E2" w14:textId="3D1A29CE" w:rsidTr="009E1FC2">
        <w:trPr>
          <w:trHeight w:val="565"/>
        </w:trPr>
        <w:tc>
          <w:tcPr>
            <w:tcW w:w="1513" w:type="dxa"/>
            <w:vMerge/>
            <w:shd w:val="clear" w:color="auto" w:fill="FBE4D5" w:themeFill="accent2" w:themeFillTint="33"/>
          </w:tcPr>
          <w:p w14:paraId="3AC9720B" w14:textId="77777777" w:rsidR="009E1FC2" w:rsidRDefault="009E1FC2" w:rsidP="00994461"/>
        </w:tc>
        <w:tc>
          <w:tcPr>
            <w:tcW w:w="4132" w:type="dxa"/>
          </w:tcPr>
          <w:p w14:paraId="7447689A" w14:textId="7995453D" w:rsidR="009E1FC2" w:rsidRDefault="009E1FC2" w:rsidP="00994461">
            <w:r>
              <w:t>J</w:t>
            </w:r>
            <w:r w:rsidRPr="00887006">
              <w:t>aunas būvniecības, būves pārbūves, būves ierīkošanas, būves novietošanas izmaksas</w:t>
            </w:r>
            <w:r>
              <w:t>:</w:t>
            </w:r>
          </w:p>
          <w:p w14:paraId="3404A083" w14:textId="77777777" w:rsidR="009E1FC2" w:rsidRDefault="009E1FC2" w:rsidP="00994461">
            <w:pPr>
              <w:pStyle w:val="ListParagraph"/>
              <w:numPr>
                <w:ilvl w:val="0"/>
                <w:numId w:val="3"/>
              </w:numPr>
            </w:pPr>
            <w:r w:rsidRPr="00E97F9E">
              <w:t>1.grupas ēku jaunai būvniecībai vai novietošanai</w:t>
            </w:r>
            <w:r>
              <w:t>.</w:t>
            </w:r>
          </w:p>
          <w:p w14:paraId="053DCCD1" w14:textId="4D2A8BF1" w:rsidR="009E1FC2" w:rsidRPr="00E97F9E" w:rsidRDefault="009E1FC2" w:rsidP="00994461">
            <w:pPr>
              <w:pStyle w:val="ListParagraph"/>
            </w:pPr>
          </w:p>
        </w:tc>
        <w:tc>
          <w:tcPr>
            <w:tcW w:w="3027" w:type="dxa"/>
          </w:tcPr>
          <w:p w14:paraId="22F816F3" w14:textId="77777777" w:rsidR="009E1FC2" w:rsidRDefault="009E1FC2" w:rsidP="009E1FC2">
            <w:r>
              <w:t>J</w:t>
            </w:r>
            <w:r w:rsidRPr="00887006">
              <w:t>aunas būvniecības, būves pārbūves, būves ierīkošanas, būves novietošanas izmaksas</w:t>
            </w:r>
            <w:r>
              <w:t>:</w:t>
            </w:r>
          </w:p>
          <w:p w14:paraId="229528A5" w14:textId="77777777" w:rsidR="009E1FC2" w:rsidRDefault="009E1FC2" w:rsidP="009E1FC2">
            <w:pPr>
              <w:pStyle w:val="ListParagraph"/>
              <w:numPr>
                <w:ilvl w:val="0"/>
                <w:numId w:val="3"/>
              </w:numPr>
            </w:pPr>
            <w:r w:rsidRPr="00E97F9E">
              <w:t>1.grupas ēku jaunai būvniecībai vai novietošanai</w:t>
            </w:r>
            <w:r>
              <w:t>.</w:t>
            </w:r>
          </w:p>
          <w:p w14:paraId="07E8EF12" w14:textId="77777777" w:rsidR="009E1FC2" w:rsidRDefault="009E1FC2" w:rsidP="00994461"/>
        </w:tc>
        <w:tc>
          <w:tcPr>
            <w:tcW w:w="3655" w:type="dxa"/>
          </w:tcPr>
          <w:p w14:paraId="62E0D604" w14:textId="3AE1EA5E" w:rsidR="009E1FC2" w:rsidRDefault="009E1FC2" w:rsidP="00994461">
            <w:r>
              <w:t>J</w:t>
            </w:r>
            <w:r w:rsidRPr="00887006">
              <w:t>aunas būvniecības, būves pārbūves, būves ierīkošanas, būves novietošanas izmaksas</w:t>
            </w:r>
            <w:r>
              <w:t>:</w:t>
            </w:r>
          </w:p>
          <w:p w14:paraId="667F4FA3" w14:textId="77777777" w:rsidR="009E1FC2" w:rsidRDefault="009E1FC2" w:rsidP="00994461">
            <w:pPr>
              <w:pStyle w:val="ListParagraph"/>
              <w:numPr>
                <w:ilvl w:val="0"/>
                <w:numId w:val="3"/>
              </w:numPr>
            </w:pPr>
            <w:r w:rsidRPr="00E97F9E">
              <w:t>1.grupas ēku jaunai būvniecībai vai novietošanai</w:t>
            </w:r>
            <w:r>
              <w:t>.</w:t>
            </w:r>
          </w:p>
          <w:p w14:paraId="2EE7139E" w14:textId="77777777" w:rsidR="009E1FC2" w:rsidRDefault="009E1FC2" w:rsidP="00994461"/>
        </w:tc>
        <w:tc>
          <w:tcPr>
            <w:tcW w:w="3655" w:type="dxa"/>
          </w:tcPr>
          <w:p w14:paraId="241E713F" w14:textId="77777777" w:rsidR="009E1FC2" w:rsidRDefault="009E1FC2" w:rsidP="009E1FC2">
            <w:r>
              <w:t>J</w:t>
            </w:r>
            <w:r w:rsidRPr="00887006">
              <w:t>aunas būvniecības, būves pārbūves, būves ierīkošanas, būves novietošanas izmaksas</w:t>
            </w:r>
            <w:r>
              <w:t>:</w:t>
            </w:r>
          </w:p>
          <w:p w14:paraId="2FC295BC" w14:textId="3EEB51BB" w:rsidR="009E1FC2" w:rsidRDefault="009E1FC2" w:rsidP="009E1FC2">
            <w:r w:rsidRPr="00E97F9E">
              <w:t>1.grupas ēku jaunai būvniecībai vai novietošanai</w:t>
            </w:r>
          </w:p>
        </w:tc>
      </w:tr>
    </w:tbl>
    <w:p w14:paraId="5FE431A0" w14:textId="77777777" w:rsidR="00B57174" w:rsidRDefault="00B57174" w:rsidP="00994461"/>
    <w:p w14:paraId="1BD9EA5C" w14:textId="76C73912" w:rsidR="00153C27" w:rsidRDefault="00153C27" w:rsidP="00EB67F8">
      <w:pPr>
        <w:pStyle w:val="ListParagraph"/>
        <w:numPr>
          <w:ilvl w:val="0"/>
          <w:numId w:val="11"/>
        </w:numPr>
      </w:pPr>
      <w:r w:rsidRPr="00EB67F8">
        <w:rPr>
          <w:color w:val="EE0000"/>
        </w:rPr>
        <w:t xml:space="preserve">Ja darbiem </w:t>
      </w:r>
      <w:r w:rsidRPr="00EB67F8">
        <w:rPr>
          <w:b/>
          <w:bCs/>
          <w:color w:val="EE0000"/>
        </w:rPr>
        <w:t>nav nepieciešami</w:t>
      </w:r>
      <w:r w:rsidRPr="00EB67F8">
        <w:rPr>
          <w:color w:val="EE0000"/>
        </w:rPr>
        <w:t xml:space="preserve"> būvniecības dokumenti, tad zem kādas sadaļas šīs izmaksas jānorāda projekta </w:t>
      </w:r>
      <w:r w:rsidR="00EB67F8" w:rsidRPr="00EB67F8">
        <w:rPr>
          <w:color w:val="EE0000"/>
        </w:rPr>
        <w:t xml:space="preserve">pieteikuma </w:t>
      </w:r>
      <w:r w:rsidRPr="00EB67F8">
        <w:rPr>
          <w:color w:val="EE0000"/>
        </w:rPr>
        <w:t xml:space="preserve">tāmē? </w:t>
      </w:r>
      <w:r>
        <w:t>– pēc būtīb</w:t>
      </w:r>
      <w:r w:rsidR="00EB67F8">
        <w:t>a tikai ar atvieglotu dokumentāciju, tā ir būvniecība</w:t>
      </w:r>
      <w:r>
        <w:t xml:space="preserve">, tad to norāda tāmes pozīcija Būvdarbi (paskaidrojuma raksts). Respektīvi, šajā sadaļā var likt būvdarbus, kuriem nebūs būvatļauja un kuriem var </w:t>
      </w:r>
      <w:r w:rsidR="00EB67F8">
        <w:t>būt/</w:t>
      </w:r>
      <w:r>
        <w:t xml:space="preserve">nebūt paskaidrojuma raksts, bet mēs tos tāpat attiecinām saskaņā ar MK noteikumos atrunāto. </w:t>
      </w:r>
      <w:r w:rsidR="00EB67F8">
        <w:t>Arī īstenošanas termiņš ir divi gadi.</w:t>
      </w:r>
    </w:p>
    <w:p w14:paraId="0375C671" w14:textId="77777777" w:rsidR="00EB67F8" w:rsidRDefault="00EB67F8" w:rsidP="00EB67F8">
      <w:pPr>
        <w:pStyle w:val="ListParagraph"/>
      </w:pPr>
    </w:p>
    <w:p w14:paraId="4AC743FF" w14:textId="32797A9F" w:rsidR="00153C27" w:rsidRDefault="00153C27" w:rsidP="00EB67F8">
      <w:pPr>
        <w:pStyle w:val="ListParagraph"/>
        <w:numPr>
          <w:ilvl w:val="0"/>
          <w:numId w:val="11"/>
        </w:numPr>
      </w:pPr>
      <w:r w:rsidRPr="00EB67F8">
        <w:rPr>
          <w:color w:val="EE0000"/>
        </w:rPr>
        <w:t xml:space="preserve">Vai </w:t>
      </w:r>
      <w:proofErr w:type="spellStart"/>
      <w:r w:rsidRPr="00EB67F8">
        <w:rPr>
          <w:b/>
          <w:bCs/>
          <w:color w:val="EE0000"/>
        </w:rPr>
        <w:t>mazēkas</w:t>
      </w:r>
      <w:proofErr w:type="spellEnd"/>
      <w:r w:rsidRPr="00EB67F8">
        <w:rPr>
          <w:color w:val="EE0000"/>
        </w:rPr>
        <w:t xml:space="preserve"> </w:t>
      </w:r>
      <w:r w:rsidRPr="00EB67F8">
        <w:rPr>
          <w:b/>
          <w:bCs/>
          <w:color w:val="EE0000"/>
        </w:rPr>
        <w:t>jaunai būvniecībai</w:t>
      </w:r>
      <w:r w:rsidRPr="00EB67F8">
        <w:rPr>
          <w:color w:val="EE0000"/>
        </w:rPr>
        <w:t xml:space="preserve"> vispār neko nevajag, vai tomēr vajag iesniegt Paziņojumu par būvniecību?</w:t>
      </w:r>
      <w:r>
        <w:t xml:space="preserve"> – šo nenosakām mēs, kā Dienests, bet gan kompetentā iestāde – </w:t>
      </w:r>
      <w:r w:rsidR="00EB67F8">
        <w:t>B</w:t>
      </w:r>
      <w:r>
        <w:t xml:space="preserve">ūvvalde. Jebkuras būvniecības gadījumā, Atbalsta pretendentam ir jānoskaidro būvvaldē, kādi dokumenti ir nepieciešami un kāds būs būvniecības veids. </w:t>
      </w:r>
      <w:r w:rsidR="00EB67F8">
        <w:t>Neskaidrību</w:t>
      </w:r>
      <w:r>
        <w:t xml:space="preserve"> gadījumā</w:t>
      </w:r>
      <w:r w:rsidR="00EB67F8">
        <w:t xml:space="preserve"> Dienests </w:t>
      </w:r>
      <w:r>
        <w:t>sazinās ar būvvaldi</w:t>
      </w:r>
      <w:r w:rsidR="00EB67F8">
        <w:t xml:space="preserve"> un precizē nepieciešamo informāciju (mēdz būt situācijas, kad klienti nesniedz Būvvaldei visu informāciju</w:t>
      </w:r>
      <w:r w:rsidR="00440310">
        <w:t>)</w:t>
      </w:r>
      <w:r w:rsidR="00EB67F8">
        <w:t xml:space="preserve">. Būvniecības veidu un nepieciešamo </w:t>
      </w:r>
      <w:r w:rsidR="008632E8">
        <w:t>dokumentāciju nosaka Būvvalde.</w:t>
      </w:r>
      <w:r>
        <w:t xml:space="preserve"> </w:t>
      </w:r>
    </w:p>
    <w:p w14:paraId="3F81C981" w14:textId="77777777" w:rsidR="008632E8" w:rsidRDefault="008632E8" w:rsidP="008632E8">
      <w:pPr>
        <w:pStyle w:val="ListParagraph"/>
      </w:pPr>
    </w:p>
    <w:p w14:paraId="43701FD3" w14:textId="22E2A82E" w:rsidR="008632E8" w:rsidRPr="00FF3E4C" w:rsidRDefault="00FF3E4C" w:rsidP="00FF3E4C">
      <w:pPr>
        <w:pStyle w:val="ListParagraph"/>
        <w:numPr>
          <w:ilvl w:val="0"/>
          <w:numId w:val="11"/>
        </w:numPr>
      </w:pPr>
      <w:r>
        <w:rPr>
          <w:color w:val="EE0000"/>
        </w:rPr>
        <w:t>J</w:t>
      </w:r>
      <w:r w:rsidRPr="00FF3E4C">
        <w:rPr>
          <w:color w:val="EE0000"/>
        </w:rPr>
        <w:t>a projektā ir paredzēta</w:t>
      </w:r>
      <w:r w:rsidR="00440310">
        <w:rPr>
          <w:color w:val="EE0000"/>
        </w:rPr>
        <w:t xml:space="preserve"> </w:t>
      </w:r>
      <w:r w:rsidRPr="00FF3E4C">
        <w:rPr>
          <w:color w:val="EE0000"/>
        </w:rPr>
        <w:t xml:space="preserve">būvniecība (veicamie darbi ir tādi kuriem nav nepieciešami būvniecības dokumenti) vai šajā gadījumā pietiek, ka atbalsta pretendents pats norāda projektā, ka šādiem darbiem neko nevajag, vai tomēr ir nepieciešama izziņa no Būvvaldes?- </w:t>
      </w:r>
      <w:r w:rsidRPr="00FF3E4C">
        <w:t>ir nepieciešama Būvvaldes izziņa, ka plānotajiem darbiem nav nepieciešama būvniecības ieceres dokumentācija vai būvatļauja</w:t>
      </w:r>
      <w:r>
        <w:t>.</w:t>
      </w:r>
    </w:p>
    <w:p w14:paraId="36C579CD" w14:textId="77777777" w:rsidR="00153C27" w:rsidRDefault="00153C27" w:rsidP="00153C27"/>
    <w:p w14:paraId="0427999B" w14:textId="1A64CF6F" w:rsidR="00FF3E4C" w:rsidRPr="00FF3E4C" w:rsidRDefault="00FF3E4C" w:rsidP="00FF3E4C">
      <w:pPr>
        <w:rPr>
          <w:sz w:val="24"/>
          <w:szCs w:val="24"/>
        </w:rPr>
      </w:pPr>
      <w:r>
        <w:t>NB!!!</w:t>
      </w:r>
    </w:p>
    <w:p w14:paraId="7E3C864D" w14:textId="77777777" w:rsidR="00FF3E4C" w:rsidRPr="00FF3E4C" w:rsidRDefault="00FF3E4C" w:rsidP="00FF3E4C">
      <w:pPr>
        <w:pStyle w:val="ListParagraph"/>
        <w:numPr>
          <w:ilvl w:val="0"/>
          <w:numId w:val="7"/>
        </w:numPr>
        <w:spacing w:before="120"/>
        <w:ind w:left="714" w:hanging="357"/>
        <w:rPr>
          <w:b/>
          <w:bCs/>
          <w:sz w:val="24"/>
          <w:szCs w:val="24"/>
        </w:rPr>
      </w:pPr>
      <w:r w:rsidRPr="00FF3E4C">
        <w:rPr>
          <w:sz w:val="24"/>
          <w:szCs w:val="24"/>
        </w:rPr>
        <w:t xml:space="preserve">Neatkarīgi no BIS būvniecības veida, </w:t>
      </w:r>
      <w:r w:rsidRPr="00FF3E4C">
        <w:rPr>
          <w:b/>
          <w:bCs/>
          <w:sz w:val="24"/>
          <w:szCs w:val="24"/>
          <w:u w:val="single"/>
        </w:rPr>
        <w:t>ir jāskatās paredzēto darbu atbilstība pret MK noteiktajām attiecināmajām izmaksām</w:t>
      </w:r>
      <w:r w:rsidRPr="00FF3E4C">
        <w:rPr>
          <w:sz w:val="24"/>
          <w:szCs w:val="24"/>
        </w:rPr>
        <w:t xml:space="preserve">. MK 580 uzņēmējdarbībā (19.21.), </w:t>
      </w:r>
      <w:r w:rsidRPr="00FF3E4C">
        <w:rPr>
          <w:b/>
          <w:bCs/>
          <w:sz w:val="24"/>
          <w:szCs w:val="24"/>
          <w:u w:val="single"/>
        </w:rPr>
        <w:t>atjaunošanas darbi ir attiecināmi tikai konkrētos gadījumos, MK 579 –</w:t>
      </w:r>
      <w:r w:rsidRPr="00FF3E4C">
        <w:rPr>
          <w:sz w:val="24"/>
          <w:szCs w:val="24"/>
        </w:rPr>
        <w:t xml:space="preserve"> </w:t>
      </w:r>
      <w:r w:rsidRPr="00FF3E4C">
        <w:rPr>
          <w:b/>
          <w:bCs/>
          <w:sz w:val="24"/>
          <w:szCs w:val="24"/>
        </w:rPr>
        <w:t xml:space="preserve">visa veida projektiem (gan ekonomikas, gan </w:t>
      </w:r>
      <w:proofErr w:type="spellStart"/>
      <w:r w:rsidRPr="00FF3E4C">
        <w:rPr>
          <w:b/>
          <w:bCs/>
          <w:sz w:val="24"/>
          <w:szCs w:val="24"/>
        </w:rPr>
        <w:t>sab.lab</w:t>
      </w:r>
      <w:proofErr w:type="spellEnd"/>
      <w:r w:rsidRPr="00FF3E4C">
        <w:rPr>
          <w:b/>
          <w:bCs/>
          <w:sz w:val="24"/>
          <w:szCs w:val="24"/>
        </w:rPr>
        <w:t>.) atjaunošana ir attiecināma konkrētos gadījumos.</w:t>
      </w:r>
    </w:p>
    <w:p w14:paraId="72F9449C" w14:textId="77777777" w:rsidR="00FF3E4C" w:rsidRPr="00FF3E4C" w:rsidRDefault="00FF3E4C" w:rsidP="00FF3E4C">
      <w:pPr>
        <w:pStyle w:val="ListParagraph"/>
        <w:spacing w:before="120"/>
        <w:ind w:left="714"/>
        <w:rPr>
          <w:sz w:val="24"/>
          <w:szCs w:val="24"/>
        </w:rPr>
      </w:pPr>
    </w:p>
    <w:p w14:paraId="5FCA12A0" w14:textId="77777777" w:rsidR="00FF3E4C" w:rsidRPr="00FF3E4C" w:rsidRDefault="00FF3E4C" w:rsidP="00FF3E4C">
      <w:pPr>
        <w:pStyle w:val="ListParagraph"/>
        <w:numPr>
          <w:ilvl w:val="0"/>
          <w:numId w:val="7"/>
        </w:numPr>
        <w:spacing w:before="120" w:after="120"/>
        <w:ind w:left="714" w:hanging="357"/>
        <w:rPr>
          <w:sz w:val="24"/>
          <w:szCs w:val="24"/>
        </w:rPr>
      </w:pPr>
      <w:r w:rsidRPr="00FF3E4C">
        <w:rPr>
          <w:sz w:val="24"/>
          <w:szCs w:val="24"/>
        </w:rPr>
        <w:t xml:space="preserve">Paziņojums par būvniecību tiek izdots un iesniegts BIS gadījumos, kas saistīti ar vienkāršotu būvniecību, tostarp 1. grupas ēku (piemēram, </w:t>
      </w:r>
      <w:proofErr w:type="spellStart"/>
      <w:r w:rsidRPr="00FF3E4C">
        <w:rPr>
          <w:sz w:val="24"/>
          <w:szCs w:val="24"/>
        </w:rPr>
        <w:t>mazēku</w:t>
      </w:r>
      <w:proofErr w:type="spellEnd"/>
      <w:r w:rsidRPr="00FF3E4C">
        <w:rPr>
          <w:sz w:val="24"/>
          <w:szCs w:val="24"/>
        </w:rPr>
        <w:t>, nojumju šķūnīšu līdz 25 m</w:t>
      </w:r>
      <w:r w:rsidRPr="00FF3E4C">
        <w:rPr>
          <w:sz w:val="24"/>
          <w:szCs w:val="24"/>
          <w:vertAlign w:val="superscript"/>
        </w:rPr>
        <w:t>2</w:t>
      </w:r>
      <w:r w:rsidRPr="00FF3E4C">
        <w:rPr>
          <w:sz w:val="24"/>
          <w:szCs w:val="24"/>
        </w:rPr>
        <w:t xml:space="preserve"> apbūves laukumam) būvniecību, pārbūvi, kā arī noteiktiem inženierbūvju darbiem, kur nav nepieciešama pilna būvvaldes atļauja.</w:t>
      </w:r>
    </w:p>
    <w:p w14:paraId="25B0C639" w14:textId="77777777" w:rsidR="00EF1A4D" w:rsidRDefault="00EF1A4D" w:rsidP="00994461"/>
    <w:p w14:paraId="71570670" w14:textId="77777777" w:rsidR="00EF1A4D" w:rsidRDefault="00EF1A4D" w:rsidP="00994461"/>
    <w:p w14:paraId="49B6DEE7" w14:textId="77777777" w:rsidR="00EF1A4D" w:rsidRDefault="00EF1A4D" w:rsidP="00994461"/>
    <w:p w14:paraId="4D4E3A5A" w14:textId="434B887B" w:rsidR="00994461" w:rsidRPr="00153C27" w:rsidRDefault="00B57174" w:rsidP="00B57174">
      <w:pPr>
        <w:rPr>
          <w:b/>
          <w:bCs/>
          <w:color w:val="FF0000"/>
          <w:u w:val="single"/>
        </w:rPr>
      </w:pPr>
      <w:r w:rsidRPr="00153C27">
        <w:rPr>
          <w:b/>
          <w:bCs/>
          <w:color w:val="FF0000"/>
          <w:u w:val="single"/>
        </w:rPr>
        <w:t>Piemēr</w:t>
      </w:r>
      <w:r w:rsidR="00153C27" w:rsidRPr="00153C27">
        <w:rPr>
          <w:b/>
          <w:bCs/>
          <w:color w:val="FF0000"/>
          <w:u w:val="single"/>
        </w:rPr>
        <w:t>s</w:t>
      </w:r>
      <w:r w:rsidRPr="00153C27">
        <w:rPr>
          <w:b/>
          <w:bCs/>
          <w:color w:val="FF0000"/>
          <w:u w:val="single"/>
        </w:rPr>
        <w:t>:</w:t>
      </w:r>
    </w:p>
    <w:p w14:paraId="34E0DED9" w14:textId="6C5AA62E" w:rsidR="00B57174" w:rsidRPr="00383949" w:rsidRDefault="00B57174" w:rsidP="00B57174">
      <w:r>
        <w:rPr>
          <w:b/>
          <w:bCs/>
        </w:rPr>
        <w:t xml:space="preserve">19.21. aktivitātē </w:t>
      </w:r>
      <w:r w:rsidR="00153C27">
        <w:rPr>
          <w:b/>
          <w:bCs/>
        </w:rPr>
        <w:t>vēlas</w:t>
      </w:r>
      <w:r>
        <w:rPr>
          <w:b/>
          <w:bCs/>
        </w:rPr>
        <w:t xml:space="preserve"> veikt apkures katla uzstādīšanu ar visu ierīkošanu</w:t>
      </w:r>
      <w:r w:rsidR="00373845">
        <w:rPr>
          <w:b/>
          <w:bCs/>
        </w:rPr>
        <w:t xml:space="preserve"> </w:t>
      </w:r>
      <w:r w:rsidR="00153C27">
        <w:rPr>
          <w:b/>
          <w:bCs/>
        </w:rPr>
        <w:t>un</w:t>
      </w:r>
      <w:r w:rsidR="00373845">
        <w:rPr>
          <w:b/>
          <w:bCs/>
        </w:rPr>
        <w:t xml:space="preserve"> ir izsniegts paziņojums par būvniecību</w:t>
      </w:r>
      <w:r w:rsidR="00153C27">
        <w:rPr>
          <w:b/>
          <w:bCs/>
        </w:rPr>
        <w:t>. Vai tas ir attiecināms?</w:t>
      </w:r>
    </w:p>
    <w:p w14:paraId="168424CC" w14:textId="742DFDC2" w:rsidR="00994461" w:rsidRPr="00383949" w:rsidRDefault="00994461" w:rsidP="00994461">
      <w:r w:rsidRPr="00383949">
        <w:rPr>
          <w:highlight w:val="yellow"/>
        </w:rPr>
        <w:t>Saskaņā ar Būvniecības valsts kontroles biroj</w:t>
      </w:r>
      <w:r w:rsidR="00B57174">
        <w:rPr>
          <w:highlight w:val="yellow"/>
        </w:rPr>
        <w:t>a</w:t>
      </w:r>
      <w:r w:rsidRPr="00383949">
        <w:rPr>
          <w:highlight w:val="yellow"/>
        </w:rPr>
        <w:t xml:space="preserve"> skaidrojumiem un Ekonomikas ministrija vadlīnijām:</w:t>
      </w:r>
    </w:p>
    <w:p w14:paraId="7FE63038" w14:textId="0BA7679F" w:rsidR="00994461" w:rsidRPr="00383949" w:rsidRDefault="00994461" w:rsidP="00994461">
      <w:pPr>
        <w:numPr>
          <w:ilvl w:val="0"/>
          <w:numId w:val="5"/>
        </w:numPr>
        <w:rPr>
          <w:highlight w:val="yellow"/>
        </w:rPr>
      </w:pPr>
      <w:r w:rsidRPr="00383949">
        <w:rPr>
          <w:b/>
          <w:bCs/>
          <w:highlight w:val="yellow"/>
        </w:rPr>
        <w:t>Apkures katls</w:t>
      </w:r>
      <w:r w:rsidRPr="00383949">
        <w:rPr>
          <w:highlight w:val="yellow"/>
        </w:rPr>
        <w:t xml:space="preserve"> ir ēkas iekšējās inženierkomunikāciju sistēmas sastāvdaļa</w:t>
      </w:r>
      <w:r w:rsidR="00CF78F0">
        <w:rPr>
          <w:highlight w:val="yellow"/>
        </w:rPr>
        <w:t xml:space="preserve">, </w:t>
      </w:r>
      <w:r w:rsidR="00CF78F0" w:rsidRPr="00373845">
        <w:rPr>
          <w:highlight w:val="yellow"/>
          <w:u w:val="single"/>
        </w:rPr>
        <w:t>tā nav inženierbūve</w:t>
      </w:r>
      <w:r w:rsidRPr="00383949">
        <w:rPr>
          <w:highlight w:val="yellow"/>
        </w:rPr>
        <w:t>.</w:t>
      </w:r>
    </w:p>
    <w:p w14:paraId="3CD4D153" w14:textId="77777777" w:rsidR="00994461" w:rsidRPr="00383949" w:rsidRDefault="00994461" w:rsidP="00994461">
      <w:pPr>
        <w:numPr>
          <w:ilvl w:val="0"/>
          <w:numId w:val="5"/>
        </w:numPr>
      </w:pPr>
      <w:r w:rsidRPr="00383949">
        <w:t>Tādēļ katla uzstādīšana parasti tiek kvalificēta kā:</w:t>
      </w:r>
    </w:p>
    <w:p w14:paraId="4B6F3618" w14:textId="77777777" w:rsidR="00994461" w:rsidRPr="00383949" w:rsidRDefault="00994461" w:rsidP="00994461">
      <w:pPr>
        <w:numPr>
          <w:ilvl w:val="1"/>
          <w:numId w:val="5"/>
        </w:numPr>
      </w:pPr>
      <w:r w:rsidRPr="00383949">
        <w:rPr>
          <w:b/>
          <w:bCs/>
        </w:rPr>
        <w:t xml:space="preserve">inženiertīklu vai </w:t>
      </w:r>
      <w:proofErr w:type="spellStart"/>
      <w:r w:rsidRPr="00383949">
        <w:rPr>
          <w:b/>
          <w:bCs/>
        </w:rPr>
        <w:t>inženiersistēmu</w:t>
      </w:r>
      <w:proofErr w:type="spellEnd"/>
      <w:r w:rsidRPr="00383949">
        <w:rPr>
          <w:b/>
          <w:bCs/>
        </w:rPr>
        <w:t xml:space="preserve"> izbūve/atjaunošana</w:t>
      </w:r>
      <w:r w:rsidRPr="00383949">
        <w:t>, vai</w:t>
      </w:r>
    </w:p>
    <w:p w14:paraId="047B0180" w14:textId="77777777" w:rsidR="00994461" w:rsidRPr="00383949" w:rsidRDefault="00994461" w:rsidP="00994461">
      <w:pPr>
        <w:numPr>
          <w:ilvl w:val="1"/>
          <w:numId w:val="5"/>
        </w:numPr>
      </w:pPr>
      <w:r w:rsidRPr="00383949">
        <w:rPr>
          <w:b/>
          <w:bCs/>
        </w:rPr>
        <w:t>vienkāršota atjaunošana</w:t>
      </w:r>
      <w:r w:rsidRPr="00383949">
        <w:t>, atkarībā no darbu apjoma.</w:t>
      </w:r>
    </w:p>
    <w:p w14:paraId="24097CD1" w14:textId="2D4D6CD1" w:rsidR="00B57174" w:rsidRDefault="00B57174" w:rsidP="00994461">
      <w:pPr>
        <w:rPr>
          <w:b/>
          <w:bCs/>
          <w:highlight w:val="yellow"/>
        </w:rPr>
      </w:pPr>
      <w:r>
        <w:rPr>
          <w:b/>
          <w:bCs/>
          <w:highlight w:val="yellow"/>
        </w:rPr>
        <w:t xml:space="preserve">Šajā gadījumā, ja tā ir noteikta kā atjaunošana, tad apkures katla ierīkošana/uzstādīšana ir attiecināma tikai </w:t>
      </w:r>
      <w:r w:rsidRPr="00887006">
        <w:t>valsts aizsargājamo kultūras pieminekļu sarakstā iekļaut</w:t>
      </w:r>
      <w:r>
        <w:t>ai</w:t>
      </w:r>
      <w:r w:rsidRPr="00887006">
        <w:t xml:space="preserve"> būv</w:t>
      </w:r>
      <w:r>
        <w:t>ei</w:t>
      </w:r>
      <w:r w:rsidRPr="00887006">
        <w:t>, kas ir tūrisma pakalpojuma sniegšanas vieta, vai ražošanas būv</w:t>
      </w:r>
      <w:r>
        <w:t>ei.</w:t>
      </w:r>
      <w:r w:rsidR="00153C27">
        <w:t xml:space="preserve"> Vai arī ir iespējams iegādāties pašu apkures katlu kā pamatlīdzekli.</w:t>
      </w:r>
    </w:p>
    <w:p w14:paraId="7DF5499D" w14:textId="3E242C9B" w:rsidR="00994461" w:rsidRPr="00383949" w:rsidRDefault="00994461" w:rsidP="00994461">
      <w:pPr>
        <w:rPr>
          <w:b/>
          <w:bCs/>
        </w:rPr>
      </w:pPr>
      <w:r w:rsidRPr="00383949">
        <w:rPr>
          <w:b/>
          <w:bCs/>
          <w:highlight w:val="yellow"/>
        </w:rPr>
        <w:t xml:space="preserve">Kad </w:t>
      </w:r>
      <w:r w:rsidR="00153C27">
        <w:rPr>
          <w:b/>
          <w:bCs/>
          <w:highlight w:val="yellow"/>
        </w:rPr>
        <w:t xml:space="preserve">apkures katls </w:t>
      </w:r>
      <w:r w:rsidRPr="00383949">
        <w:rPr>
          <w:b/>
          <w:bCs/>
          <w:highlight w:val="yellow"/>
        </w:rPr>
        <w:t xml:space="preserve">var </w:t>
      </w:r>
      <w:r w:rsidR="00B57174">
        <w:rPr>
          <w:b/>
          <w:bCs/>
          <w:highlight w:val="yellow"/>
        </w:rPr>
        <w:t>būt attiecināms</w:t>
      </w:r>
      <w:r w:rsidR="00153C27">
        <w:rPr>
          <w:b/>
          <w:bCs/>
          <w:highlight w:val="yellow"/>
        </w:rPr>
        <w:t>, kā būvniecība,</w:t>
      </w:r>
      <w:r w:rsidR="00B57174">
        <w:rPr>
          <w:b/>
          <w:bCs/>
          <w:highlight w:val="yellow"/>
        </w:rPr>
        <w:t xml:space="preserve"> 19.21. gadījumos</w:t>
      </w:r>
      <w:r w:rsidRPr="00383949">
        <w:rPr>
          <w:b/>
          <w:bCs/>
          <w:highlight w:val="yellow"/>
        </w:rPr>
        <w:t>?</w:t>
      </w:r>
    </w:p>
    <w:p w14:paraId="4615FC21" w14:textId="77777777" w:rsidR="00994461" w:rsidRPr="00383949" w:rsidRDefault="00994461" w:rsidP="00994461">
      <w:r w:rsidRPr="00383949">
        <w:t>Tas atkarīgs no situācijas:</w:t>
      </w:r>
    </w:p>
    <w:p w14:paraId="54764DA3" w14:textId="1DFC9C65" w:rsidR="00994461" w:rsidRPr="00383949" w:rsidRDefault="00994461" w:rsidP="00994461">
      <w:pPr>
        <w:numPr>
          <w:ilvl w:val="0"/>
          <w:numId w:val="6"/>
        </w:numPr>
      </w:pPr>
      <w:r w:rsidRPr="00383949">
        <w:t xml:space="preserve">Ja tiek </w:t>
      </w:r>
      <w:r w:rsidRPr="00383949">
        <w:rPr>
          <w:b/>
          <w:bCs/>
        </w:rPr>
        <w:t>pārbūvēta katlu telpa</w:t>
      </w:r>
      <w:r w:rsidR="00153C27">
        <w:rPr>
          <w:b/>
          <w:bCs/>
        </w:rPr>
        <w:t xml:space="preserve"> (tai skaitā uzstāda arī apkures katlu)</w:t>
      </w:r>
      <w:r w:rsidRPr="00383949">
        <w:t>, mainīts lietošanas veids vai nestspējas konstrukcijas</w:t>
      </w:r>
      <w:r w:rsidR="00373845">
        <w:t>.</w:t>
      </w:r>
    </w:p>
    <w:p w14:paraId="598D4346" w14:textId="67AC129D" w:rsidR="00994461" w:rsidRPr="00383949" w:rsidRDefault="00994461" w:rsidP="00994461">
      <w:pPr>
        <w:numPr>
          <w:ilvl w:val="0"/>
          <w:numId w:val="6"/>
        </w:numPr>
      </w:pPr>
      <w:r w:rsidRPr="00383949">
        <w:t xml:space="preserve">Ja tiek izbūvēts </w:t>
      </w:r>
      <w:r w:rsidRPr="00383949">
        <w:rPr>
          <w:b/>
          <w:bCs/>
        </w:rPr>
        <w:t>jauns skurstenis</w:t>
      </w:r>
      <w:r w:rsidR="00440310">
        <w:rPr>
          <w:b/>
          <w:bCs/>
        </w:rPr>
        <w:t xml:space="preserve"> (tai skaitā uzstāda arī apkures katlu)</w:t>
      </w:r>
      <w:r w:rsidRPr="00383949">
        <w:t xml:space="preserve"> vai ārējie siltumtīkli.</w:t>
      </w:r>
    </w:p>
    <w:p w14:paraId="1B5AC533" w14:textId="3F61D300" w:rsidR="00994461" w:rsidRPr="00383949" w:rsidRDefault="00994461" w:rsidP="00994461">
      <w:pPr>
        <w:numPr>
          <w:ilvl w:val="0"/>
          <w:numId w:val="6"/>
        </w:numPr>
      </w:pPr>
      <w:r w:rsidRPr="00383949">
        <w:t xml:space="preserve">Ja tiek ierīkota </w:t>
      </w:r>
      <w:r w:rsidRPr="00383949">
        <w:rPr>
          <w:b/>
          <w:bCs/>
        </w:rPr>
        <w:t>atsevišķa katlu māja kā jauna būve</w:t>
      </w:r>
      <w:r w:rsidR="00440310">
        <w:rPr>
          <w:b/>
          <w:bCs/>
        </w:rPr>
        <w:t xml:space="preserve"> (tai skaitā uzstāda arī apkures katlu)</w:t>
      </w:r>
      <w:r w:rsidRPr="00383949">
        <w:t xml:space="preserve"> — tad tā jau var būt inženierbūve</w:t>
      </w:r>
      <w:r w:rsidR="00373845">
        <w:t>.</w:t>
      </w:r>
    </w:p>
    <w:p w14:paraId="403B05C4" w14:textId="77777777" w:rsidR="00994461" w:rsidRPr="002C1FD7" w:rsidRDefault="00994461" w:rsidP="00994461">
      <w:pPr>
        <w:rPr>
          <w:b/>
          <w:bCs/>
        </w:rPr>
      </w:pPr>
    </w:p>
    <w:sectPr w:rsidR="00994461" w:rsidRPr="002C1FD7" w:rsidSect="00EF1A4D">
      <w:pgSz w:w="16838" w:h="11906" w:orient="landscape"/>
      <w:pgMar w:top="284" w:right="567"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1E6"/>
    <w:multiLevelType w:val="hybridMultilevel"/>
    <w:tmpl w:val="49746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3B29E3"/>
    <w:multiLevelType w:val="hybridMultilevel"/>
    <w:tmpl w:val="66AA0A9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BA063D"/>
    <w:multiLevelType w:val="multilevel"/>
    <w:tmpl w:val="EC5E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0392A"/>
    <w:multiLevelType w:val="hybridMultilevel"/>
    <w:tmpl w:val="92C2B5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2C4B73"/>
    <w:multiLevelType w:val="multilevel"/>
    <w:tmpl w:val="8E8C2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43D70"/>
    <w:multiLevelType w:val="hybridMultilevel"/>
    <w:tmpl w:val="18EC87E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BE0707"/>
    <w:multiLevelType w:val="hybridMultilevel"/>
    <w:tmpl w:val="A45010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750FDE"/>
    <w:multiLevelType w:val="hybridMultilevel"/>
    <w:tmpl w:val="D178A8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61431B"/>
    <w:multiLevelType w:val="hybridMultilevel"/>
    <w:tmpl w:val="AC7CA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4D97787"/>
    <w:multiLevelType w:val="multilevel"/>
    <w:tmpl w:val="6B8E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A2B1B"/>
    <w:multiLevelType w:val="hybridMultilevel"/>
    <w:tmpl w:val="E36C3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2573428">
    <w:abstractNumId w:val="10"/>
  </w:num>
  <w:num w:numId="2" w16cid:durableId="1935819277">
    <w:abstractNumId w:val="6"/>
  </w:num>
  <w:num w:numId="3" w16cid:durableId="94791575">
    <w:abstractNumId w:val="8"/>
  </w:num>
  <w:num w:numId="4" w16cid:durableId="1424523130">
    <w:abstractNumId w:val="2"/>
  </w:num>
  <w:num w:numId="5" w16cid:durableId="739451325">
    <w:abstractNumId w:val="4"/>
  </w:num>
  <w:num w:numId="6" w16cid:durableId="622271144">
    <w:abstractNumId w:val="9"/>
  </w:num>
  <w:num w:numId="7" w16cid:durableId="1682580790">
    <w:abstractNumId w:val="7"/>
  </w:num>
  <w:num w:numId="8" w16cid:durableId="1946381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201533">
    <w:abstractNumId w:val="1"/>
  </w:num>
  <w:num w:numId="10" w16cid:durableId="1477601357">
    <w:abstractNumId w:val="3"/>
  </w:num>
  <w:num w:numId="11" w16cid:durableId="22216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97"/>
    <w:rsid w:val="00113F34"/>
    <w:rsid w:val="00153C27"/>
    <w:rsid w:val="00252945"/>
    <w:rsid w:val="002C1FD7"/>
    <w:rsid w:val="00317F2C"/>
    <w:rsid w:val="00373845"/>
    <w:rsid w:val="0043601F"/>
    <w:rsid w:val="00440310"/>
    <w:rsid w:val="004D5823"/>
    <w:rsid w:val="0050442F"/>
    <w:rsid w:val="005311CC"/>
    <w:rsid w:val="007A2329"/>
    <w:rsid w:val="00852C97"/>
    <w:rsid w:val="008632E8"/>
    <w:rsid w:val="00885936"/>
    <w:rsid w:val="008F6E20"/>
    <w:rsid w:val="00994461"/>
    <w:rsid w:val="009E1FC2"/>
    <w:rsid w:val="00AB5746"/>
    <w:rsid w:val="00AE3423"/>
    <w:rsid w:val="00B57174"/>
    <w:rsid w:val="00CF78F0"/>
    <w:rsid w:val="00D1675E"/>
    <w:rsid w:val="00D36214"/>
    <w:rsid w:val="00DF5543"/>
    <w:rsid w:val="00E97F9E"/>
    <w:rsid w:val="00EB67F8"/>
    <w:rsid w:val="00EF1A4D"/>
    <w:rsid w:val="00FF3E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EEA8"/>
  <w15:chartTrackingRefBased/>
  <w15:docId w15:val="{6A8B3ABA-E40B-4114-9AF7-6D02B88D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C97"/>
    <w:rPr>
      <w:rFonts w:eastAsiaTheme="majorEastAsia" w:cstheme="majorBidi"/>
      <w:color w:val="272727" w:themeColor="text1" w:themeTint="D8"/>
    </w:rPr>
  </w:style>
  <w:style w:type="paragraph" w:styleId="Title">
    <w:name w:val="Title"/>
    <w:basedOn w:val="Normal"/>
    <w:next w:val="Normal"/>
    <w:link w:val="TitleChar"/>
    <w:uiPriority w:val="10"/>
    <w:qFormat/>
    <w:rsid w:val="0085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C97"/>
    <w:pPr>
      <w:spacing w:before="160"/>
      <w:jc w:val="center"/>
    </w:pPr>
    <w:rPr>
      <w:i/>
      <w:iCs/>
      <w:color w:val="404040" w:themeColor="text1" w:themeTint="BF"/>
    </w:rPr>
  </w:style>
  <w:style w:type="character" w:customStyle="1" w:styleId="QuoteChar">
    <w:name w:val="Quote Char"/>
    <w:basedOn w:val="DefaultParagraphFont"/>
    <w:link w:val="Quote"/>
    <w:uiPriority w:val="29"/>
    <w:rsid w:val="00852C97"/>
    <w:rPr>
      <w:i/>
      <w:iCs/>
      <w:color w:val="404040" w:themeColor="text1" w:themeTint="BF"/>
    </w:rPr>
  </w:style>
  <w:style w:type="paragraph" w:styleId="ListParagraph">
    <w:name w:val="List Paragraph"/>
    <w:basedOn w:val="Normal"/>
    <w:uiPriority w:val="34"/>
    <w:qFormat/>
    <w:rsid w:val="00852C97"/>
    <w:pPr>
      <w:ind w:left="720"/>
      <w:contextualSpacing/>
    </w:pPr>
  </w:style>
  <w:style w:type="character" w:styleId="IntenseEmphasis">
    <w:name w:val="Intense Emphasis"/>
    <w:basedOn w:val="DefaultParagraphFont"/>
    <w:uiPriority w:val="21"/>
    <w:qFormat/>
    <w:rsid w:val="00852C97"/>
    <w:rPr>
      <w:i/>
      <w:iCs/>
      <w:color w:val="2F5496" w:themeColor="accent1" w:themeShade="BF"/>
    </w:rPr>
  </w:style>
  <w:style w:type="paragraph" w:styleId="IntenseQuote">
    <w:name w:val="Intense Quote"/>
    <w:basedOn w:val="Normal"/>
    <w:next w:val="Normal"/>
    <w:link w:val="IntenseQuoteChar"/>
    <w:uiPriority w:val="30"/>
    <w:qFormat/>
    <w:rsid w:val="00852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C97"/>
    <w:rPr>
      <w:i/>
      <w:iCs/>
      <w:color w:val="2F5496" w:themeColor="accent1" w:themeShade="BF"/>
    </w:rPr>
  </w:style>
  <w:style w:type="character" w:styleId="IntenseReference">
    <w:name w:val="Intense Reference"/>
    <w:basedOn w:val="DefaultParagraphFont"/>
    <w:uiPriority w:val="32"/>
    <w:qFormat/>
    <w:rsid w:val="00852C97"/>
    <w:rPr>
      <w:b/>
      <w:bCs/>
      <w:smallCaps/>
      <w:color w:val="2F5496" w:themeColor="accent1" w:themeShade="BF"/>
      <w:spacing w:val="5"/>
    </w:rPr>
  </w:style>
  <w:style w:type="table" w:styleId="TableGrid">
    <w:name w:val="Table Grid"/>
    <w:basedOn w:val="TableNormal"/>
    <w:uiPriority w:val="39"/>
    <w:rsid w:val="0085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8486">
      <w:bodyDiv w:val="1"/>
      <w:marLeft w:val="0"/>
      <w:marRight w:val="0"/>
      <w:marTop w:val="0"/>
      <w:marBottom w:val="0"/>
      <w:divBdr>
        <w:top w:val="none" w:sz="0" w:space="0" w:color="auto"/>
        <w:left w:val="none" w:sz="0" w:space="0" w:color="auto"/>
        <w:bottom w:val="none" w:sz="0" w:space="0" w:color="auto"/>
        <w:right w:val="none" w:sz="0" w:space="0" w:color="auto"/>
      </w:divBdr>
    </w:div>
    <w:div w:id="1729067876">
      <w:bodyDiv w:val="1"/>
      <w:marLeft w:val="0"/>
      <w:marRight w:val="0"/>
      <w:marTop w:val="0"/>
      <w:marBottom w:val="0"/>
      <w:divBdr>
        <w:top w:val="none" w:sz="0" w:space="0" w:color="auto"/>
        <w:left w:val="none" w:sz="0" w:space="0" w:color="auto"/>
        <w:bottom w:val="none" w:sz="0" w:space="0" w:color="auto"/>
        <w:right w:val="none" w:sz="0" w:space="0" w:color="auto"/>
      </w:divBdr>
    </w:div>
    <w:div w:id="1992443330">
      <w:bodyDiv w:val="1"/>
      <w:marLeft w:val="0"/>
      <w:marRight w:val="0"/>
      <w:marTop w:val="0"/>
      <w:marBottom w:val="0"/>
      <w:divBdr>
        <w:top w:val="none" w:sz="0" w:space="0" w:color="auto"/>
        <w:left w:val="none" w:sz="0" w:space="0" w:color="auto"/>
        <w:bottom w:val="none" w:sz="0" w:space="0" w:color="auto"/>
        <w:right w:val="none" w:sz="0" w:space="0" w:color="auto"/>
      </w:divBdr>
    </w:div>
    <w:div w:id="20291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997D0AB8C0C42B5689D0B19961D8D" ma:contentTypeVersion="4" ma:contentTypeDescription="Create a new document." ma:contentTypeScope="" ma:versionID="f734b1c2103829e78a92026e428a8b07">
  <xsd:schema xmlns:xsd="http://www.w3.org/2001/XMLSchema" xmlns:xs="http://www.w3.org/2001/XMLSchema" xmlns:p="http://schemas.microsoft.com/office/2006/metadata/properties" xmlns:ns3="92687c57-3278-4a27-8e5b-e7019c22e190" targetNamespace="http://schemas.microsoft.com/office/2006/metadata/properties" ma:root="true" ma:fieldsID="872c60135c2271188f1e71cacac1a7a0" ns3:_="">
    <xsd:import namespace="92687c57-3278-4a27-8e5b-e7019c22e19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7c57-3278-4a27-8e5b-e7019c22e19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A1E67-015F-4E4A-B355-4ECB97AE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87c57-3278-4a27-8e5b-e7019c22e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FBD4A-D252-49CA-91E2-C8B16B289E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D265F-28EB-4001-B109-5CEB8CDB9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4359</Words>
  <Characters>2485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Brence</dc:creator>
  <cp:keywords/>
  <dc:description/>
  <cp:lastModifiedBy>Zane Jakušenoka</cp:lastModifiedBy>
  <cp:revision>2</cp:revision>
  <dcterms:created xsi:type="dcterms:W3CDTF">2026-03-09T09:22:00Z</dcterms:created>
  <dcterms:modified xsi:type="dcterms:W3CDTF">2026-03-09T09:22:00Z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0x010100932997D0AB8C0C42B5689D0B19961D8D</vt:lpwstr>
  </property>
</Properties>
</file>